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B7822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b w:val="0"/>
          <w:bCs/>
          <w:color w:val="auto"/>
          <w:kern w:val="2"/>
          <w:sz w:val="32"/>
          <w:szCs w:val="32"/>
          <w:lang w:val="en-US" w:eastAsia="zh-CN" w:bidi="ar-SA"/>
        </w:rPr>
      </w:pPr>
      <w:r>
        <w:rPr>
          <w:rFonts w:hint="eastAsia" w:ascii="黑体" w:hAnsi="黑体" w:eastAsia="黑体" w:cs="黑体"/>
          <w:b w:val="0"/>
          <w:bCs/>
          <w:color w:val="auto"/>
          <w:kern w:val="2"/>
          <w:sz w:val="32"/>
          <w:szCs w:val="32"/>
          <w:lang w:val="en-US" w:eastAsia="zh-CN" w:bidi="ar-SA"/>
        </w:rPr>
        <w:t>附件</w:t>
      </w:r>
    </w:p>
    <w:p w14:paraId="5D03776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auto"/>
          <w:kern w:val="2"/>
          <w:sz w:val="40"/>
          <w:szCs w:val="40"/>
          <w:lang w:val="en-US" w:eastAsia="zh-CN" w:bidi="ar-SA"/>
        </w:rPr>
      </w:pPr>
      <w:bookmarkStart w:id="0" w:name="_GoBack"/>
      <w:r>
        <w:rPr>
          <w:rFonts w:hint="eastAsia" w:ascii="方正小标宋简体" w:hAnsi="方正小标宋简体" w:eastAsia="方正小标宋简体" w:cs="方正小标宋简体"/>
          <w:b w:val="0"/>
          <w:bCs/>
          <w:color w:val="auto"/>
          <w:kern w:val="2"/>
          <w:sz w:val="40"/>
          <w:szCs w:val="40"/>
          <w:lang w:val="en-US" w:eastAsia="zh-CN" w:bidi="ar-SA"/>
        </w:rPr>
        <w:t>2025年江西省国际科技合作项目拟立项清单</w:t>
      </w:r>
      <w:bookmarkEnd w:id="0"/>
    </w:p>
    <w:p w14:paraId="61CDED4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_GB2312" w:cs="Times New Roman"/>
          <w:b w:val="0"/>
          <w:bCs/>
          <w:color w:val="auto"/>
          <w:kern w:val="2"/>
          <w:sz w:val="32"/>
          <w:szCs w:val="32"/>
          <w:lang w:val="en-US" w:eastAsia="zh-CN" w:bidi="ar-SA"/>
        </w:rPr>
      </w:pPr>
    </w:p>
    <w:tbl>
      <w:tblPr>
        <w:tblStyle w:val="4"/>
        <w:tblW w:w="927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Layout w:type="fixed"/>
        <w:tblCellMar>
          <w:top w:w="0" w:type="dxa"/>
          <w:left w:w="108" w:type="dxa"/>
          <w:bottom w:w="0" w:type="dxa"/>
          <w:right w:w="108" w:type="dxa"/>
        </w:tblCellMar>
      </w:tblPr>
      <w:tblGrid>
        <w:gridCol w:w="711"/>
        <w:gridCol w:w="4483"/>
        <w:gridCol w:w="2127"/>
        <w:gridCol w:w="1958"/>
      </w:tblGrid>
      <w:tr w14:paraId="68062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hemeFill="background1"/>
          <w:tblCellMar>
            <w:top w:w="0" w:type="dxa"/>
            <w:left w:w="108" w:type="dxa"/>
            <w:bottom w:w="0" w:type="dxa"/>
            <w:right w:w="108" w:type="dxa"/>
          </w:tblCellMar>
        </w:tblPrEx>
        <w:trPr>
          <w:trHeight w:val="101"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B95052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序号</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8ED848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项目名称</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3FE258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申报单位</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A09DBF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b/>
                <w:bCs/>
                <w:i w:val="0"/>
                <w:iCs w:val="0"/>
                <w:color w:val="000000"/>
                <w:kern w:val="0"/>
                <w:sz w:val="24"/>
                <w:szCs w:val="24"/>
                <w:u w:val="none"/>
                <w:lang w:val="en-US" w:eastAsia="zh-CN" w:bidi="ar"/>
              </w:rPr>
            </w:pPr>
            <w:r>
              <w:rPr>
                <w:rFonts w:hint="default" w:ascii="Times New Roman" w:hAnsi="Times New Roman" w:eastAsia="仿宋_GB2312" w:cs="Times New Roman"/>
                <w:b/>
                <w:bCs/>
                <w:i w:val="0"/>
                <w:iCs w:val="0"/>
                <w:color w:val="000000"/>
                <w:kern w:val="0"/>
                <w:sz w:val="24"/>
                <w:szCs w:val="24"/>
                <w:u w:val="none"/>
                <w:lang w:val="en-US" w:eastAsia="zh-CN" w:bidi="ar"/>
              </w:rPr>
              <w:t>项目</w:t>
            </w:r>
          </w:p>
          <w:p w14:paraId="2517A98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b/>
                <w:bCs/>
                <w:i w:val="0"/>
                <w:iCs w:val="0"/>
                <w:color w:val="000000"/>
                <w:sz w:val="24"/>
                <w:szCs w:val="24"/>
                <w:u w:val="none"/>
              </w:rPr>
            </w:pPr>
            <w:r>
              <w:rPr>
                <w:rFonts w:hint="default" w:ascii="Times New Roman" w:hAnsi="Times New Roman" w:eastAsia="仿宋_GB2312" w:cs="Times New Roman"/>
                <w:b/>
                <w:bCs/>
                <w:i w:val="0"/>
                <w:iCs w:val="0"/>
                <w:color w:val="000000"/>
                <w:kern w:val="0"/>
                <w:sz w:val="24"/>
                <w:szCs w:val="24"/>
                <w:u w:val="none"/>
                <w:lang w:val="en-US" w:eastAsia="zh-CN" w:bidi="ar"/>
              </w:rPr>
              <w:t>负责人</w:t>
            </w:r>
          </w:p>
        </w:tc>
      </w:tr>
      <w:tr w14:paraId="195B5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1AEBF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3AAD85">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微结构光学模具超精密智能加工方法与关键技术研究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0AC332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北京航空航天大学江西研究院</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79841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杜晗恒</w:t>
            </w:r>
          </w:p>
        </w:tc>
      </w:tr>
      <w:tr w14:paraId="36786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1712F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2</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2AC4C5D">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暴雨诱发滑坡数字孪生模型研发及风险智能评估研究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A6F51C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南昌大学</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E011A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黄劲松</w:t>
            </w:r>
          </w:p>
        </w:tc>
      </w:tr>
      <w:tr w14:paraId="16559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1EE88D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3</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558F2D2F">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抗炎中草药穿心莲多组学辅助良种选育</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F7BC9B5">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江西省、中国科学院庐山植物园</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53A84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黄铭坤</w:t>
            </w:r>
          </w:p>
        </w:tc>
      </w:tr>
      <w:tr w14:paraId="63B28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38755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4</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E7E48F8">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面向多金属废酸体系的氢离子选择性分离膜构筑及酸回收过程强化</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B6D169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中国科学院赣江创新研究院</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AC50863">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林久养</w:t>
            </w:r>
          </w:p>
        </w:tc>
      </w:tr>
      <w:tr w14:paraId="60294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AF9FF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5</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31E0011">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废塑料微波催化热解联产三烯三苯的关键技术与装备开发</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183A3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南昌大学</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F12A4A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王允圃</w:t>
            </w:r>
          </w:p>
        </w:tc>
      </w:tr>
      <w:tr w14:paraId="2426E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49C169F">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6</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A9DAB89">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spacing w:val="-11"/>
                <w:kern w:val="0"/>
                <w:sz w:val="24"/>
                <w:szCs w:val="24"/>
                <w:u w:val="none"/>
                <w:lang w:val="en-US" w:eastAsia="zh-CN" w:bidi="ar"/>
              </w:rPr>
              <w:t>零碳氨燃料高效燃烧关键技术及应用研究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4B107B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江西省科学院能源研究所</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C71C1B">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范敏</w:t>
            </w:r>
          </w:p>
        </w:tc>
      </w:tr>
      <w:tr w14:paraId="53AC0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D954E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7</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358A9736">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TDP43通过重塑细胞外基质促进衰老和阿尔茨海默病进展的分子机制及其天然小分子抑制剂的筛选和应用</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FCCA142">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kern w:val="0"/>
                <w:sz w:val="24"/>
                <w:szCs w:val="24"/>
                <w:u w:val="none"/>
                <w:lang w:val="en-US" w:eastAsia="zh-CN" w:bidi="ar"/>
              </w:rPr>
            </w:pPr>
            <w:r>
              <w:rPr>
                <w:rFonts w:hint="default" w:ascii="Times New Roman" w:hAnsi="Times New Roman" w:eastAsia="仿宋_GB2312" w:cs="Times New Roman"/>
                <w:i w:val="0"/>
                <w:iCs w:val="0"/>
                <w:color w:val="000000"/>
                <w:kern w:val="0"/>
                <w:sz w:val="24"/>
                <w:szCs w:val="24"/>
                <w:u w:val="none"/>
                <w:lang w:val="en-US" w:eastAsia="zh-CN" w:bidi="ar"/>
              </w:rPr>
              <w:t>赣江中药创新</w:t>
            </w:r>
          </w:p>
          <w:p w14:paraId="64CED74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中心</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9D1791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赵樑</w:t>
            </w:r>
          </w:p>
        </w:tc>
      </w:tr>
      <w:tr w14:paraId="3D688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350F69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8</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9A55DA7">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基于乳酸代谢调控 TBI 后髓鞘再生机制研究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E57F31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南昌大学第二附属医院</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FFC094">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张焱</w:t>
            </w:r>
          </w:p>
        </w:tc>
      </w:tr>
      <w:tr w14:paraId="02F3B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838375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9</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7EC350A">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面向腹腔镜手术的人机交互虚拟手术仿真系统关键技术研究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1F86B38">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南昌大学</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06C660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伍军云</w:t>
            </w:r>
          </w:p>
        </w:tc>
      </w:tr>
      <w:tr w14:paraId="2D8BA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7C8ABE">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10</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D11AEEE">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高性能钙</w:t>
            </w:r>
            <w:r>
              <w:rPr>
                <w:rFonts w:hint="default" w:ascii="Times New Roman" w:hAnsi="Times New Roman" w:eastAsia="仿宋_GB2312" w:cs="Times New Roman"/>
                <w:i w:val="0"/>
                <w:iCs w:val="0"/>
                <w:color w:val="000000"/>
                <w:spacing w:val="-11"/>
                <w:kern w:val="0"/>
                <w:sz w:val="24"/>
                <w:szCs w:val="24"/>
                <w:u w:val="none"/>
                <w:lang w:val="en-US" w:eastAsia="zh-CN" w:bidi="ar"/>
              </w:rPr>
              <w:t>钛矿/晶硅叠层电池关键技术开发</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FA235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上饶晶科能源叁号智造有限公司</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5F51A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徐孟雷</w:t>
            </w:r>
          </w:p>
        </w:tc>
      </w:tr>
      <w:tr w14:paraId="1D3DC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39E69C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11</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3625C7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靶向ROCK2的小分子药物调控cGAS-STING通路介导骨肉瘤糖代谢的机制研究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4643415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南昌大学第二附属医院</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DBE4F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郝亮</w:t>
            </w:r>
          </w:p>
        </w:tc>
      </w:tr>
      <w:tr w14:paraId="115E67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839B4C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12</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2E3FBFC">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基于微藻的水产养殖尾水处理及其资源化利用技术研发</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6D278B5E">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江西省农业科学院农产品质量安全与标准研究所</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298832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李思明</w:t>
            </w:r>
          </w:p>
        </w:tc>
      </w:tr>
      <w:tr w14:paraId="6E9BF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93A4BA">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13</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A5339D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关键钨矿资源高效开发利用研究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815FA06">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江西理工大学</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A4274D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黄志强</w:t>
            </w:r>
          </w:p>
        </w:tc>
      </w:tr>
      <w:tr w14:paraId="3A1FB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B6AC00">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14</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90DDDBA">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基于智能神经反馈训练的注意缺陷儿童调控研究</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7A771FC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江西杰联医疗设备有限公司</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E51D279">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陈贺</w:t>
            </w:r>
          </w:p>
        </w:tc>
      </w:tr>
      <w:tr w14:paraId="57F77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5F4FAB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15</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06039DBF">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麸质食品中致乳糜泻毒性肽关键检测技术和应用</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D40DBA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南昌大学</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EDB8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陈红兵</w:t>
            </w:r>
          </w:p>
        </w:tc>
      </w:tr>
      <w:tr w14:paraId="105CA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6C0F66">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16</w:t>
            </w:r>
          </w:p>
        </w:tc>
        <w:tc>
          <w:tcPr>
            <w:tcW w:w="4483"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2C4E7D08">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POE直驱零碳智慧照明通信感知一体化网络</w:t>
            </w:r>
          </w:p>
        </w:tc>
        <w:tc>
          <w:tcPr>
            <w:tcW w:w="212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14:paraId="1FB96F4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南昌大学</w:t>
            </w:r>
          </w:p>
        </w:tc>
        <w:tc>
          <w:tcPr>
            <w:tcW w:w="195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6C509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刘晓东</w:t>
            </w:r>
          </w:p>
        </w:tc>
      </w:tr>
      <w:tr w14:paraId="3F8DB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000000" w:sz="4" w:space="0"/>
              <w:left w:val="single" w:color="000000" w:sz="4" w:space="0"/>
              <w:bottom w:val="single" w:color="auto" w:sz="4" w:space="0"/>
              <w:right w:val="single" w:color="000000" w:sz="4" w:space="0"/>
            </w:tcBorders>
            <w:shd w:val="clear" w:color="auto" w:fill="FFFFFF" w:themeFill="background1"/>
            <w:noWrap/>
            <w:vAlign w:val="center"/>
          </w:tcPr>
          <w:p w14:paraId="7FCEB6B7">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17</w:t>
            </w:r>
          </w:p>
        </w:tc>
        <w:tc>
          <w:tcPr>
            <w:tcW w:w="4483" w:type="dxa"/>
            <w:tcBorders>
              <w:top w:val="single" w:color="000000" w:sz="4" w:space="0"/>
              <w:left w:val="single" w:color="000000" w:sz="4" w:space="0"/>
              <w:bottom w:val="single" w:color="auto" w:sz="4" w:space="0"/>
              <w:right w:val="single" w:color="000000" w:sz="4" w:space="0"/>
            </w:tcBorders>
            <w:shd w:val="clear" w:color="auto" w:fill="FFFFFF" w:themeFill="background1"/>
            <w:vAlign w:val="center"/>
          </w:tcPr>
          <w:p w14:paraId="20E37FA9">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新型“Ω”齿形无氧铜沟槽无缝管优化设计及制备加工技术</w:t>
            </w:r>
          </w:p>
        </w:tc>
        <w:tc>
          <w:tcPr>
            <w:tcW w:w="2127" w:type="dxa"/>
            <w:tcBorders>
              <w:top w:val="single" w:color="000000" w:sz="4" w:space="0"/>
              <w:left w:val="single" w:color="000000" w:sz="4" w:space="0"/>
              <w:bottom w:val="single" w:color="auto" w:sz="4" w:space="0"/>
              <w:right w:val="single" w:color="000000" w:sz="4" w:space="0"/>
            </w:tcBorders>
            <w:shd w:val="clear" w:color="auto" w:fill="FFFFFF" w:themeFill="background1"/>
            <w:vAlign w:val="center"/>
          </w:tcPr>
          <w:p w14:paraId="7B38140B">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江西耐乐铜业有限公司</w:t>
            </w:r>
          </w:p>
        </w:tc>
        <w:tc>
          <w:tcPr>
            <w:tcW w:w="1958" w:type="dxa"/>
            <w:tcBorders>
              <w:top w:val="single" w:color="000000" w:sz="4" w:space="0"/>
              <w:left w:val="single" w:color="000000" w:sz="4" w:space="0"/>
              <w:bottom w:val="single" w:color="auto" w:sz="4" w:space="0"/>
              <w:right w:val="single" w:color="000000" w:sz="4" w:space="0"/>
            </w:tcBorders>
            <w:shd w:val="clear" w:color="auto" w:fill="FFFFFF" w:themeFill="background1"/>
            <w:noWrap/>
            <w:vAlign w:val="center"/>
          </w:tcPr>
          <w:p w14:paraId="77FF347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马力</w:t>
            </w:r>
          </w:p>
        </w:tc>
      </w:tr>
      <w:tr w14:paraId="2CD85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14:paraId="06A00A19">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18</w:t>
            </w:r>
          </w:p>
        </w:tc>
        <w:tc>
          <w:tcPr>
            <w:tcW w:w="4483"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7D46FC67">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赣南脐橙产量和品质地空结合监测技术研究</w:t>
            </w:r>
          </w:p>
        </w:tc>
        <w:tc>
          <w:tcPr>
            <w:tcW w:w="212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1A2636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华东交通大学</w:t>
            </w:r>
          </w:p>
        </w:tc>
        <w:tc>
          <w:tcPr>
            <w:tcW w:w="1958"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14:paraId="6A413F48">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孙旭东</w:t>
            </w:r>
          </w:p>
        </w:tc>
      </w:tr>
      <w:tr w14:paraId="53B55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11"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14:paraId="7F887011">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19</w:t>
            </w:r>
          </w:p>
        </w:tc>
        <w:tc>
          <w:tcPr>
            <w:tcW w:w="4483"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27D04068">
            <w:pPr>
              <w:keepNext w:val="0"/>
              <w:keepLines w:val="0"/>
              <w:pageBreakBefore w:val="0"/>
              <w:widowControl/>
              <w:suppressLineNumbers w:val="0"/>
              <w:kinsoku/>
              <w:wordWrap/>
              <w:overflowPunct/>
              <w:topLinePunct w:val="0"/>
              <w:autoSpaceDE/>
              <w:autoSpaceDN/>
              <w:bidi w:val="0"/>
              <w:adjustRightInd/>
              <w:snapToGrid/>
              <w:spacing w:line="340" w:lineRule="exact"/>
              <w:jc w:val="left"/>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赣东北夏秋绿茶加工-北非仓储过程滋味演变规律及其调控关键技术</w:t>
            </w:r>
          </w:p>
        </w:tc>
        <w:tc>
          <w:tcPr>
            <w:tcW w:w="2127"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55887E2C">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江西林恩茶业有限公司</w:t>
            </w:r>
          </w:p>
        </w:tc>
        <w:tc>
          <w:tcPr>
            <w:tcW w:w="1958" w:type="dxa"/>
            <w:tcBorders>
              <w:top w:val="single" w:color="auto" w:sz="4" w:space="0"/>
              <w:left w:val="single" w:color="auto" w:sz="4" w:space="0"/>
              <w:bottom w:val="single" w:color="auto" w:sz="4" w:space="0"/>
              <w:right w:val="single" w:color="auto" w:sz="4" w:space="0"/>
            </w:tcBorders>
            <w:shd w:val="clear" w:color="auto" w:fill="FFFFFF" w:themeFill="background1"/>
            <w:noWrap/>
            <w:vAlign w:val="center"/>
          </w:tcPr>
          <w:p w14:paraId="072AB0DD">
            <w:pPr>
              <w:keepNext w:val="0"/>
              <w:keepLines w:val="0"/>
              <w:pageBreakBefore w:val="0"/>
              <w:widowControl/>
              <w:suppressLineNumbers w:val="0"/>
              <w:kinsoku/>
              <w:wordWrap/>
              <w:overflowPunct/>
              <w:topLinePunct w:val="0"/>
              <w:autoSpaceDE/>
              <w:autoSpaceDN/>
              <w:bidi w:val="0"/>
              <w:adjustRightInd/>
              <w:snapToGrid/>
              <w:spacing w:line="340" w:lineRule="exact"/>
              <w:jc w:val="center"/>
              <w:textAlignment w:val="center"/>
              <w:rPr>
                <w:rFonts w:hint="default" w:ascii="Times New Roman" w:hAnsi="Times New Roman" w:eastAsia="仿宋_GB2312" w:cs="Times New Roman"/>
                <w:i w:val="0"/>
                <w:iCs w:val="0"/>
                <w:color w:val="000000"/>
                <w:sz w:val="24"/>
                <w:szCs w:val="24"/>
                <w:u w:val="none"/>
              </w:rPr>
            </w:pPr>
            <w:r>
              <w:rPr>
                <w:rFonts w:hint="default" w:ascii="Times New Roman" w:hAnsi="Times New Roman" w:eastAsia="仿宋_GB2312" w:cs="Times New Roman"/>
                <w:i w:val="0"/>
                <w:iCs w:val="0"/>
                <w:color w:val="000000"/>
                <w:kern w:val="0"/>
                <w:sz w:val="24"/>
                <w:szCs w:val="24"/>
                <w:u w:val="none"/>
                <w:lang w:val="en-US" w:eastAsia="zh-CN" w:bidi="ar"/>
              </w:rPr>
              <w:t>卢利荣</w:t>
            </w:r>
          </w:p>
        </w:tc>
      </w:tr>
    </w:tbl>
    <w:p w14:paraId="720BAD55">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b w:val="0"/>
          <w:bCs/>
          <w:color w:val="auto"/>
          <w:kern w:val="2"/>
          <w:sz w:val="32"/>
          <w:szCs w:val="32"/>
          <w:lang w:val="en-US" w:eastAsia="zh-CN" w:bidi="ar-SA"/>
        </w:rPr>
      </w:pPr>
    </w:p>
    <w:p w14:paraId="206104CC"/>
    <w:sectPr>
      <w:footerReference r:id="rId3" w:type="default"/>
      <w:footerReference r:id="rId4" w:type="even"/>
      <w:pgSz w:w="11906" w:h="16838"/>
      <w:pgMar w:top="1701" w:right="1417" w:bottom="1701" w:left="141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swiss"/>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62A7CE">
    <w:pPr>
      <w:pStyle w:val="3"/>
      <w:jc w:val="right"/>
      <w:rPr>
        <w:rFonts w:hint="eastAsia" w:eastAsiaTheme="minorEastAsia"/>
        <w:lang w:val="en-US" w:eastAsia="zh-CN"/>
      </w:rPr>
    </w:pPr>
    <w:r>
      <w:rPr>
        <w:rStyle w:val="6"/>
        <w:rFonts w:ascii="Times New Roman" w:hAnsi="Times New Roman"/>
        <w:sz w:val="28"/>
        <w:szCs w:val="28"/>
      </w:rPr>
      <w:t xml:space="preserve">— </w:t>
    </w:r>
    <w:r>
      <w:rPr>
        <w:rFonts w:ascii="Times New Roman" w:hAnsi="Times New Roman"/>
        <w:sz w:val="28"/>
        <w:szCs w:val="28"/>
      </w:rPr>
      <w:fldChar w:fldCharType="begin"/>
    </w:r>
    <w:r>
      <w:rPr>
        <w:rStyle w:val="6"/>
        <w:rFonts w:ascii="Times New Roman" w:hAnsi="Times New Roman"/>
        <w:sz w:val="28"/>
        <w:szCs w:val="28"/>
      </w:rPr>
      <w:instrText xml:space="preserve">PAGE  </w:instrText>
    </w:r>
    <w:r>
      <w:rPr>
        <w:rFonts w:ascii="Times New Roman" w:hAnsi="Times New Roman"/>
        <w:sz w:val="28"/>
        <w:szCs w:val="28"/>
      </w:rPr>
      <w:fldChar w:fldCharType="separate"/>
    </w:r>
    <w:r>
      <w:rPr>
        <w:rStyle w:val="6"/>
        <w:rFonts w:ascii="Times New Roman" w:hAnsi="Times New Roman"/>
        <w:sz w:val="28"/>
        <w:szCs w:val="28"/>
      </w:rPr>
      <w:t>1</w:t>
    </w:r>
    <w:r>
      <w:rPr>
        <w:rFonts w:ascii="Times New Roman" w:hAnsi="Times New Roman"/>
        <w:sz w:val="28"/>
        <w:szCs w:val="28"/>
      </w:rPr>
      <w:fldChar w:fldCharType="end"/>
    </w:r>
    <w:r>
      <w:rPr>
        <w:rStyle w:val="6"/>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89E84">
    <w:pPr>
      <w:pStyle w:val="3"/>
      <w:jc w:val="both"/>
    </w:pPr>
    <w:r>
      <w:rPr>
        <w:rStyle w:val="6"/>
        <w:rFonts w:ascii="Times New Roman" w:hAnsi="Times New Roman"/>
        <w:sz w:val="28"/>
        <w:szCs w:val="28"/>
      </w:rPr>
      <w:t xml:space="preserve">— </w:t>
    </w:r>
    <w:r>
      <w:rPr>
        <w:rFonts w:ascii="Times New Roman" w:hAnsi="Times New Roman"/>
        <w:sz w:val="28"/>
        <w:szCs w:val="28"/>
      </w:rPr>
      <w:fldChar w:fldCharType="begin"/>
    </w:r>
    <w:r>
      <w:rPr>
        <w:rStyle w:val="6"/>
        <w:rFonts w:ascii="Times New Roman" w:hAnsi="Times New Roman"/>
        <w:sz w:val="28"/>
        <w:szCs w:val="28"/>
      </w:rPr>
      <w:instrText xml:space="preserve">PAGE  </w:instrText>
    </w:r>
    <w:r>
      <w:rPr>
        <w:rFonts w:ascii="Times New Roman" w:hAnsi="Times New Roman"/>
        <w:sz w:val="28"/>
        <w:szCs w:val="28"/>
      </w:rPr>
      <w:fldChar w:fldCharType="separate"/>
    </w:r>
    <w:r>
      <w:rPr>
        <w:rStyle w:val="6"/>
        <w:rFonts w:ascii="Times New Roman" w:hAnsi="Times New Roman"/>
        <w:sz w:val="28"/>
        <w:szCs w:val="28"/>
      </w:rPr>
      <w:t>1</w:t>
    </w:r>
    <w:r>
      <w:rPr>
        <w:rFonts w:ascii="Times New Roman" w:hAnsi="Times New Roman"/>
        <w:sz w:val="28"/>
        <w:szCs w:val="28"/>
      </w:rPr>
      <w:fldChar w:fldCharType="end"/>
    </w:r>
    <w:r>
      <w:rPr>
        <w:rStyle w:val="6"/>
        <w:rFonts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E11610"/>
    <w:rsid w:val="7BE11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footer"/>
    <w:basedOn w:val="1"/>
    <w:qFormat/>
    <w:uiPriority w:val="0"/>
    <w:pPr>
      <w:tabs>
        <w:tab w:val="center" w:pos="4153"/>
        <w:tab w:val="right" w:pos="8306"/>
      </w:tabs>
      <w:snapToGrid w:val="0"/>
      <w:jc w:val="left"/>
    </w:pPr>
    <w:rPr>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2025-09-30T09:25:00Z</dcterms:created>
  <dc:creator>牛皮不是牛皮是皮</dc:creator>
  <cp:lastModifiedBy>牛皮不是牛皮是皮</cp:lastModifiedBy>
  <dcterms:modified xsi:type="dcterms:W3CDTF">2025-09-30T09:25:10Z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D8FB30FB486C4B3792B1BD84B96D836E_11</vt:lpwstr>
  </property>
  <property fmtid="{D5CDD505-2E9C-101B-9397-08002B2CF9AE}" pid="4" name="KSOTemplateDocerSaveRecord">
    <vt:lpwstr>eyJoZGlkIjoiMWMwMDM2M2FhYzlhNjg5OGQ1OWNhMTg2NmIzNzMxY2EiLCJ1c2VySWQiOiIxMDI0NzAwNjI2In0=</vt:lpwstr>
  </property>
</Properties>
</file>