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600" w:lineRule="exact"/>
        <w:jc w:val="both"/>
        <w:textAlignment w:val="auto"/>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附件1</w:t>
      </w:r>
    </w:p>
    <w:p>
      <w:pPr>
        <w:pStyle w:val="7"/>
        <w:keepNext w:val="0"/>
        <w:keepLines w:val="0"/>
        <w:pageBreakBefore w:val="0"/>
        <w:widowControl/>
        <w:kinsoku/>
        <w:wordWrap w:val="0"/>
        <w:overflowPunct/>
        <w:topLinePunct w:val="0"/>
        <w:autoSpaceDE/>
        <w:autoSpaceDN/>
        <w:bidi w:val="0"/>
        <w:adjustRightInd/>
        <w:snapToGrid/>
        <w:spacing w:before="0" w:beforeLines="0" w:beforeAutospacing="0" w:after="0" w:afterLines="0" w:afterAutospacing="0" w:line="600" w:lineRule="exact"/>
        <w:jc w:val="both"/>
        <w:textAlignment w:val="auto"/>
        <w:rPr>
          <w:rFonts w:hint="eastAsia" w:ascii="宋体" w:hAnsi="宋体"/>
          <w:color w:val="000000" w:themeColor="text1"/>
          <w:sz w:val="32"/>
          <w:szCs w:val="32"/>
          <w:u w:val="none"/>
          <w14:textFill>
            <w14:solidFill>
              <w14:schemeClr w14:val="tx1"/>
            </w14:solidFill>
          </w14:textFill>
        </w:rPr>
      </w:pPr>
    </w:p>
    <w:p>
      <w:pPr>
        <w:pStyle w:val="7"/>
        <w:keepNext w:val="0"/>
        <w:keepLines w:val="0"/>
        <w:pageBreakBefore w:val="0"/>
        <w:widowControl/>
        <w:kinsoku/>
        <w:wordWrap w:val="0"/>
        <w:overflowPunct/>
        <w:topLinePunct w:val="0"/>
        <w:autoSpaceDE/>
        <w:autoSpaceDN/>
        <w:bidi w:val="0"/>
        <w:adjustRightInd/>
        <w:snapToGrid/>
        <w:spacing w:before="0" w:beforeLines="0" w:beforeAutospacing="0" w:after="0" w:afterLines="0" w:afterAutospacing="0" w:line="600" w:lineRule="exact"/>
        <w:jc w:val="center"/>
        <w:textAlignment w:val="auto"/>
        <w:rPr>
          <w:rFonts w:hint="eastAsia" w:ascii="方正小标宋简体" w:eastAsia="方正小标宋简体"/>
          <w:color w:val="000000" w:themeColor="text1"/>
          <w:spacing w:val="-12"/>
          <w:sz w:val="44"/>
          <w:szCs w:val="44"/>
          <w:u w:val="none"/>
          <w14:textFill>
            <w14:solidFill>
              <w14:schemeClr w14:val="tx1"/>
            </w14:solidFill>
          </w14:textFill>
        </w:rPr>
      </w:pPr>
      <w:r>
        <w:rPr>
          <w:rFonts w:hint="eastAsia" w:ascii="方正小标宋简体" w:eastAsia="方正小标宋简体"/>
          <w:color w:val="000000" w:themeColor="text1"/>
          <w:spacing w:val="-12"/>
          <w:sz w:val="44"/>
          <w:szCs w:val="44"/>
          <w:u w:val="none"/>
          <w14:textFill>
            <w14:solidFill>
              <w14:schemeClr w14:val="tx1"/>
            </w14:solidFill>
          </w14:textFill>
        </w:rPr>
        <w:t>部分不合格项目的小知识</w:t>
      </w:r>
    </w:p>
    <w:p>
      <w:pPr>
        <w:pStyle w:val="7"/>
        <w:keepNext w:val="0"/>
        <w:keepLines w:val="0"/>
        <w:pageBreakBefore w:val="0"/>
        <w:widowControl/>
        <w:kinsoku/>
        <w:wordWrap w:val="0"/>
        <w:overflowPunct/>
        <w:topLinePunct w:val="0"/>
        <w:autoSpaceDE/>
        <w:autoSpaceDN/>
        <w:bidi w:val="0"/>
        <w:adjustRightInd/>
        <w:snapToGrid/>
        <w:spacing w:before="0" w:beforeLines="0" w:beforeAutospacing="0" w:after="0" w:afterLines="0" w:afterAutospacing="0" w:line="600" w:lineRule="exact"/>
        <w:jc w:val="both"/>
        <w:textAlignment w:val="auto"/>
        <w:rPr>
          <w:rFonts w:hint="eastAsia" w:ascii="方正小标宋简体" w:eastAsia="方正小标宋简体"/>
          <w:color w:val="000000" w:themeColor="text1"/>
          <w:spacing w:val="-12"/>
          <w:sz w:val="44"/>
          <w:szCs w:val="44"/>
          <w:u w:val="none"/>
          <w14:textFill>
            <w14:solidFill>
              <w14:schemeClr w14:val="tx1"/>
            </w14:solidFill>
          </w14:textFill>
        </w:rPr>
      </w:pPr>
    </w:p>
    <w:p>
      <w:pPr>
        <w:keepNext w:val="0"/>
        <w:keepLines w:val="0"/>
        <w:pageBreakBefore w:val="0"/>
        <w:numPr>
          <w:ilvl w:val="0"/>
          <w:numId w:val="0"/>
        </w:numPr>
        <w:kinsoku/>
        <w:overflowPunct/>
        <w:topLinePunct w:val="0"/>
        <w:autoSpaceDE/>
        <w:autoSpaceDN/>
        <w:bidi w:val="0"/>
        <w:adjustRightInd/>
        <w:snapToGrid/>
        <w:spacing w:line="600" w:lineRule="exact"/>
        <w:ind w:firstLine="640" w:firstLineChars="200"/>
        <w:jc w:val="both"/>
        <w:textAlignment w:val="auto"/>
        <w:rPr>
          <w:rFonts w:hint="default" w:ascii="黑体" w:hAnsi="黑体" w:eastAsia="黑体" w:cs="仿宋_GB2312"/>
          <w:color w:val="auto"/>
          <w:kern w:val="2"/>
          <w:sz w:val="32"/>
          <w:szCs w:val="32"/>
          <w:u w:val="none"/>
          <w:lang w:val="en-US" w:eastAsia="zh-CN"/>
        </w:rPr>
      </w:pPr>
      <w:r>
        <w:rPr>
          <w:rFonts w:hint="eastAsia" w:ascii="黑体" w:hAnsi="黑体" w:eastAsia="黑体" w:cs="仿宋_GB2312"/>
          <w:b w:val="0"/>
          <w:color w:val="000000" w:themeColor="text1"/>
          <w:kern w:val="2"/>
          <w:sz w:val="32"/>
          <w:szCs w:val="32"/>
          <w:u w:val="none"/>
          <w:lang w:val="en-US" w:eastAsia="zh-CN" w:bidi="ar-SA"/>
          <w14:textFill>
            <w14:solidFill>
              <w14:schemeClr w14:val="tx1"/>
            </w14:solidFill>
          </w14:textFill>
        </w:rPr>
        <w:t>一、</w:t>
      </w:r>
      <w:r>
        <w:rPr>
          <w:rFonts w:hint="default" w:ascii="黑体" w:hAnsi="黑体" w:eastAsia="黑体" w:cs="仿宋_GB2312"/>
          <w:color w:val="auto"/>
          <w:kern w:val="2"/>
          <w:sz w:val="32"/>
          <w:szCs w:val="32"/>
          <w:u w:val="none"/>
          <w:lang w:val="en-US" w:eastAsia="zh-CN"/>
        </w:rPr>
        <w:t>吡唑醚菌酯</w:t>
      </w:r>
      <w:bookmarkStart w:id="1" w:name="_GoBack"/>
      <w:bookmarkEnd w:id="1"/>
    </w:p>
    <w:p>
      <w:pPr>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吡唑醚菌酯</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(农药残留)</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是一种具有保护、治疗和传导作用的</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广谱</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杀菌剂。《食品安全国家标准 食品中农药最大残留限量》（GB 2763-2021）中规定，</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荔枝</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中吡唑醚菌酯残留量不得超过0.</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1</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mg/kg。吡唑醚菌酯残留量超标的原因可能是种植过程为控制虫害，加大了用药量或未遵守采摘间隔期规定。</w:t>
      </w:r>
    </w:p>
    <w:p>
      <w:pPr>
        <w:keepNext w:val="0"/>
        <w:keepLines w:val="0"/>
        <w:pageBreakBefore w:val="0"/>
        <w:numPr>
          <w:ilvl w:val="0"/>
          <w:numId w:val="0"/>
        </w:numPr>
        <w:kinsoku/>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仿宋_GB2312"/>
          <w:color w:val="000000" w:themeColor="text1"/>
          <w:kern w:val="2"/>
          <w:sz w:val="32"/>
          <w:szCs w:val="32"/>
          <w:u w:val="none"/>
          <w14:textFill>
            <w14:solidFill>
              <w14:schemeClr w14:val="tx1"/>
            </w14:solidFill>
          </w14:textFill>
        </w:rPr>
      </w:pPr>
      <w:r>
        <w:rPr>
          <w:rFonts w:hint="eastAsia" w:ascii="黑体" w:hAnsi="黑体" w:eastAsia="黑体" w:cs="仿宋_GB2312"/>
          <w:color w:val="000000" w:themeColor="text1"/>
          <w:kern w:val="2"/>
          <w:sz w:val="32"/>
          <w:szCs w:val="32"/>
          <w:u w:val="none"/>
          <w:lang w:val="en-US" w:eastAsia="zh-CN"/>
          <w14:textFill>
            <w14:solidFill>
              <w14:schemeClr w14:val="tx1"/>
            </w14:solidFill>
          </w14:textFill>
        </w:rPr>
        <w:t>二、</w:t>
      </w:r>
      <w:r>
        <w:rPr>
          <w:rFonts w:hint="eastAsia" w:ascii="黑体" w:hAnsi="黑体" w:eastAsia="黑体" w:cs="仿宋_GB2312"/>
          <w:color w:val="000000" w:themeColor="text1"/>
          <w:kern w:val="2"/>
          <w:sz w:val="32"/>
          <w:szCs w:val="32"/>
          <w:u w:val="none"/>
          <w14:textFill>
            <w14:solidFill>
              <w14:schemeClr w14:val="tx1"/>
            </w14:solidFill>
          </w14:textFill>
        </w:rPr>
        <w:t>酒精度</w:t>
      </w:r>
    </w:p>
    <w:p>
      <w:pPr>
        <w:keepNext w:val="0"/>
        <w:keepLines w:val="0"/>
        <w:pageBreakBefore w:val="0"/>
        <w:numPr>
          <w:ilvl w:val="0"/>
          <w:numId w:val="0"/>
        </w:numPr>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酒精度又叫酒度，是指在20℃时，100毫升酒中含有乙醇（酒精）的毫升数，即体积（容量）的百分数。酒精度是酒类产品的一个重要理化指标，含量不达标主要影响产品的品质。</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酒类中</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酒精度未达到产品标签明示要求的原因，可能是个别企业生产工艺控制不严格或生产工艺水平较低，无法准确控制酒精度；也可能是生产企业检验器具未检定或检验过程不规范，造成检验结果有偏差；还可能是包装不严密造成酒精挥发</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w:t>
      </w:r>
    </w:p>
    <w:p>
      <w:pPr>
        <w:pStyle w:val="8"/>
        <w:keepNext w:val="0"/>
        <w:keepLines w:val="0"/>
        <w:pageBreakBefore w:val="0"/>
        <w:numPr>
          <w:ilvl w:val="0"/>
          <w:numId w:val="0"/>
        </w:numPr>
        <w:kinsoku/>
        <w:overflowPunct/>
        <w:topLinePunct w:val="0"/>
        <w:autoSpaceDE/>
        <w:bidi w:val="0"/>
        <w:snapToGrid/>
        <w:spacing w:after="0" w:line="600" w:lineRule="exact"/>
        <w:ind w:firstLine="640" w:firstLineChars="200"/>
        <w:textAlignment w:val="auto"/>
        <w:rPr>
          <w:rFonts w:hint="default" w:ascii="黑体" w:hAnsi="黑体" w:eastAsia="黑体" w:cs="仿宋_GB2312"/>
          <w:color w:val="000000" w:themeColor="text1"/>
          <w:kern w:val="2"/>
          <w:sz w:val="32"/>
          <w:szCs w:val="32"/>
          <w:u w:val="none"/>
          <w:lang w:val="en-US" w:eastAsia="zh-CN" w:bidi="ar-SA"/>
          <w14:textFill>
            <w14:solidFill>
              <w14:schemeClr w14:val="tx1"/>
            </w14:solidFill>
          </w14:textFill>
        </w:rPr>
      </w:pPr>
      <w:r>
        <w:rPr>
          <w:rFonts w:hint="eastAsia" w:ascii="黑体" w:hAnsi="黑体" w:eastAsia="黑体" w:cs="仿宋_GB2312"/>
          <w:color w:val="000000" w:themeColor="text1"/>
          <w:kern w:val="2"/>
          <w:sz w:val="32"/>
          <w:szCs w:val="32"/>
          <w:u w:val="none"/>
          <w:lang w:val="en-US" w:eastAsia="zh-CN" w:bidi="ar-SA"/>
          <w14:textFill>
            <w14:solidFill>
              <w14:schemeClr w14:val="tx1"/>
            </w14:solidFill>
          </w14:textFill>
        </w:rPr>
        <w:t>三、</w:t>
      </w:r>
      <w:r>
        <w:rPr>
          <w:rFonts w:hint="default" w:ascii="黑体" w:hAnsi="黑体" w:eastAsia="黑体" w:cs="仿宋_GB2312"/>
          <w:color w:val="000000" w:themeColor="text1"/>
          <w:kern w:val="2"/>
          <w:sz w:val="32"/>
          <w:szCs w:val="32"/>
          <w:u w:val="none"/>
          <w:lang w:val="en-US" w:eastAsia="zh-CN" w:bidi="ar-SA"/>
          <w14:textFill>
            <w14:solidFill>
              <w14:schemeClr w14:val="tx1"/>
            </w14:solidFill>
          </w14:textFill>
        </w:rPr>
        <w:t>噻虫嗪</w:t>
      </w:r>
    </w:p>
    <w:p>
      <w:pPr>
        <w:keepNext w:val="0"/>
        <w:keepLines w:val="0"/>
        <w:pageBreakBefore w:val="0"/>
        <w:numPr>
          <w:ilvl w:val="0"/>
          <w:numId w:val="0"/>
        </w:numPr>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噻虫嗪是烟碱类杀虫剂，具有胃毒、触杀和内吸作用，对蚜虫、蛴螬等有较好防效。</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w:t>
      </w:r>
      <w:r>
        <w:rPr>
          <w:rFonts w:hint="default" w:ascii="仿宋_GB2312" w:hAnsi="仿宋_GB2312" w:eastAsia="仿宋_GB2312" w:cs="仿宋_GB2312"/>
          <w:color w:val="000000" w:themeColor="text1"/>
          <w:kern w:val="2"/>
          <w:sz w:val="32"/>
          <w:szCs w:val="32"/>
          <w:u w:val="none"/>
          <w:lang w:val="zh-CN" w:eastAsia="zh-CN" w:bidi="ar-SA"/>
          <w14:textFill>
            <w14:solidFill>
              <w14:schemeClr w14:val="tx1"/>
            </w14:solidFill>
          </w14:textFill>
        </w:rPr>
        <w:t>食品安全国家标准 食品中农药最大残留限量</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w:t>
      </w:r>
      <w:r>
        <w:rPr>
          <w:rFonts w:hint="default" w:ascii="仿宋_GB2312" w:hAnsi="仿宋_GB2312" w:eastAsia="仿宋_GB2312" w:cs="仿宋_GB2312"/>
          <w:color w:val="000000" w:themeColor="text1"/>
          <w:kern w:val="2"/>
          <w:sz w:val="32"/>
          <w:szCs w:val="32"/>
          <w:u w:val="none"/>
          <w:lang w:val="zh-CN" w:eastAsia="zh-CN" w:bidi="ar-SA"/>
          <w14:textFill>
            <w14:solidFill>
              <w14:schemeClr w14:val="tx1"/>
            </w14:solidFill>
          </w14:textFill>
        </w:rPr>
        <w:t>GB 2763-2021</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）中规定，</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豇豆</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中</w:t>
      </w:r>
      <w:r>
        <w:rPr>
          <w:rFonts w:hint="eastAsia" w:ascii="仿宋_GB2312" w:hAnsi="仿宋_GB2312" w:eastAsia="仿宋_GB2312" w:cs="仿宋_GB2312"/>
          <w:color w:val="000000" w:themeColor="text1"/>
          <w:kern w:val="2"/>
          <w:sz w:val="32"/>
          <w:szCs w:val="32"/>
          <w:u w:val="none"/>
          <w:lang w:val="zh-CN" w:eastAsia="zh-CN" w:bidi="ar-SA"/>
          <w14:textFill>
            <w14:solidFill>
              <w14:schemeClr w14:val="tx1"/>
            </w14:solidFill>
          </w14:textFill>
        </w:rPr>
        <w:t>噻虫嗪</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的</w:t>
      </w:r>
      <w:r>
        <w:rPr>
          <w:rFonts w:hint="default" w:ascii="仿宋_GB2312" w:hAnsi="仿宋_GB2312" w:eastAsia="仿宋_GB2312" w:cs="仿宋_GB2312"/>
          <w:color w:val="000000" w:themeColor="text1"/>
          <w:kern w:val="2"/>
          <w:sz w:val="32"/>
          <w:szCs w:val="32"/>
          <w:u w:val="none"/>
          <w:lang w:val="zh-CN" w:eastAsia="zh-CN" w:bidi="ar-SA"/>
          <w14:textFill>
            <w14:solidFill>
              <w14:schemeClr w14:val="tx1"/>
            </w14:solidFill>
          </w14:textFill>
        </w:rPr>
        <w:t>最大残留</w:t>
      </w:r>
      <w:r>
        <w:rPr>
          <w:rFonts w:hint="eastAsia" w:ascii="仿宋_GB2312" w:hAnsi="仿宋_GB2312" w:eastAsia="仿宋_GB2312" w:cs="仿宋_GB2312"/>
          <w:color w:val="000000" w:themeColor="text1"/>
          <w:kern w:val="2"/>
          <w:sz w:val="32"/>
          <w:szCs w:val="32"/>
          <w:u w:val="none"/>
          <w:lang w:val="zh-CN" w:eastAsia="zh-CN" w:bidi="ar-SA"/>
          <w14:textFill>
            <w14:solidFill>
              <w14:schemeClr w14:val="tx1"/>
            </w14:solidFill>
          </w14:textFill>
        </w:rPr>
        <w:t>量</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为</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0.3mg/kg。噻虫嗪残留量超标可能是为快速控制虫害，加大用药量或未遵守采摘间隔期规定，致使上市销售的产品中残留量超标。</w:t>
      </w:r>
    </w:p>
    <w:p>
      <w:pPr>
        <w:keepNext w:val="0"/>
        <w:keepLines w:val="0"/>
        <w:pageBreakBefore w:val="0"/>
        <w:widowControl/>
        <w:suppressLineNumbers w:val="0"/>
        <w:kinsoku/>
        <w:overflowPunct/>
        <w:topLinePunct w:val="0"/>
        <w:autoSpaceDE/>
        <w:bidi w:val="0"/>
        <w:adjustRightInd/>
        <w:snapToGrid/>
        <w:spacing w:line="600" w:lineRule="exact"/>
        <w:ind w:firstLine="640" w:firstLineChars="200"/>
        <w:jc w:val="left"/>
        <w:textAlignment w:val="auto"/>
        <w:rPr>
          <w:rFonts w:hint="eastAsia" w:ascii="黑体" w:hAnsi="黑体" w:eastAsia="黑体" w:cs="仿宋_GB2312"/>
          <w:color w:val="000000" w:themeColor="text1"/>
          <w:kern w:val="2"/>
          <w:sz w:val="32"/>
          <w:szCs w:val="32"/>
          <w:u w:val="none"/>
          <w:lang w:val="en-US" w:eastAsia="zh-CN" w:bidi="ar-SA"/>
          <w14:textFill>
            <w14:solidFill>
              <w14:schemeClr w14:val="tx1"/>
            </w14:solidFill>
          </w14:textFill>
        </w:rPr>
      </w:pPr>
      <w:r>
        <w:rPr>
          <w:rFonts w:hint="eastAsia" w:ascii="黑体" w:hAnsi="黑体" w:eastAsia="黑体" w:cs="仿宋_GB2312"/>
          <w:color w:val="000000" w:themeColor="text1"/>
          <w:kern w:val="2"/>
          <w:sz w:val="32"/>
          <w:szCs w:val="32"/>
          <w:u w:val="none"/>
          <w:lang w:val="en-US" w:eastAsia="zh-CN" w:bidi="ar-SA"/>
          <w14:textFill>
            <w14:solidFill>
              <w14:schemeClr w14:val="tx1"/>
            </w14:solidFill>
          </w14:textFill>
        </w:rPr>
        <w:t>四、联苯菊酯</w:t>
      </w:r>
    </w:p>
    <w:p>
      <w:pPr>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联苯菊酯具有击倒作用强、广谱、高效、快速、长残效等特点，以触杀作用和胃毒作用为主，无内吸作用。《食品安全国家标准 食品中农药最大残留限量》（GB 2763-2021）中规定，联苯菊酯在茶叶中的最大残留限量为0.01mg/kg。造成联苯菊酯不合格原因可能是为快速控制虫害而违规使用农药导致。</w:t>
      </w:r>
    </w:p>
    <w:p>
      <w:pPr>
        <w:keepNext w:val="0"/>
        <w:keepLines w:val="0"/>
        <w:pageBreakBefore w:val="0"/>
        <w:widowControl/>
        <w:kinsoku/>
        <w:wordWrap w:val="0"/>
        <w:overflowPunct/>
        <w:topLinePunct w:val="0"/>
        <w:autoSpaceDE/>
        <w:autoSpaceDN/>
        <w:bidi w:val="0"/>
        <w:adjustRightInd/>
        <w:snapToGrid/>
        <w:spacing w:beforeAutospacing="0" w:afterAutospacing="0" w:line="600" w:lineRule="exact"/>
        <w:ind w:left="0" w:right="0" w:firstLine="640"/>
        <w:jc w:val="both"/>
        <w:textAlignment w:val="auto"/>
        <w:rPr>
          <w:rFonts w:hint="eastAsia" w:ascii="仿宋" w:hAnsi="仿宋" w:eastAsia="仿宋" w:cs="仿宋_GB2312"/>
          <w:color w:val="000000" w:themeColor="text1"/>
          <w:kern w:val="2"/>
          <w:sz w:val="32"/>
          <w:szCs w:val="32"/>
          <w:u w:val="none"/>
          <w:lang w:val="en-US" w:eastAsia="zh-CN" w:bidi="ar-SA"/>
          <w14:textFill>
            <w14:solidFill>
              <w14:schemeClr w14:val="tx1"/>
            </w14:solidFill>
          </w14:textFill>
        </w:rPr>
      </w:pPr>
      <w:r>
        <w:rPr>
          <w:rFonts w:hint="eastAsia" w:ascii="黑体" w:hAnsi="黑体" w:eastAsia="黑体" w:cs="仿宋_GB2312"/>
          <w:color w:val="000000" w:themeColor="text1"/>
          <w:kern w:val="2"/>
          <w:sz w:val="32"/>
          <w:szCs w:val="32"/>
          <w:u w:val="none"/>
          <w:lang w:val="en-US" w:eastAsia="zh-CN"/>
          <w14:textFill>
            <w14:solidFill>
              <w14:schemeClr w14:val="tx1"/>
            </w14:solidFill>
          </w14:textFill>
        </w:rPr>
        <w:t>五、噻虫胺</w:t>
      </w:r>
    </w:p>
    <w:p>
      <w:pPr>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噻虫胺</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属</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烟碱类杀虫剂，具有触杀、胃毒作用，具有根内吸活性和层间传导性。</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根据《</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食品安全国家标准 食品中农药最大残留限量</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 xml:space="preserve">》（GB </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2763-2021</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）中的规定，姜中噻虫胺限量标准为0.2mg/kg，</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噻虫胺残留量超标的原因可能是为快速控制虫害，未遵守采摘间隔期</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休药后再采摘的</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规定，致使上市销售的产品中残留量超标。</w:t>
      </w:r>
    </w:p>
    <w:p>
      <w:pPr>
        <w:keepNext w:val="0"/>
        <w:keepLines w:val="0"/>
        <w:pageBreakBefore w:val="0"/>
        <w:widowControl/>
        <w:kinsoku/>
        <w:wordWrap w:val="0"/>
        <w:overflowPunct/>
        <w:topLinePunct w:val="0"/>
        <w:autoSpaceDE/>
        <w:autoSpaceDN/>
        <w:bidi w:val="0"/>
        <w:adjustRightInd/>
        <w:snapToGrid/>
        <w:spacing w:beforeAutospacing="0" w:afterAutospacing="0" w:line="600" w:lineRule="exact"/>
        <w:ind w:left="0" w:right="0" w:firstLine="640" w:firstLineChars="200"/>
        <w:jc w:val="left"/>
        <w:textAlignment w:val="auto"/>
        <w:rPr>
          <w:rFonts w:hint="eastAsia" w:ascii="黑体" w:hAnsi="黑体" w:eastAsia="黑体" w:cs="仿宋_GB2312"/>
          <w:color w:val="000000" w:themeColor="text1"/>
          <w:kern w:val="2"/>
          <w:sz w:val="32"/>
          <w:szCs w:val="32"/>
          <w:u w:val="none"/>
          <w:lang w:val="en-US" w:eastAsia="zh-CN" w:bidi="ar-SA"/>
          <w14:textFill>
            <w14:solidFill>
              <w14:schemeClr w14:val="tx1"/>
            </w14:solidFill>
          </w14:textFill>
        </w:rPr>
      </w:pPr>
      <w:r>
        <w:rPr>
          <w:rFonts w:hint="eastAsia" w:ascii="黑体" w:hAnsi="黑体" w:eastAsia="黑体" w:cs="仿宋_GB2312"/>
          <w:color w:val="000000" w:themeColor="text1"/>
          <w:kern w:val="2"/>
          <w:sz w:val="32"/>
          <w:szCs w:val="32"/>
          <w:u w:val="none"/>
          <w:lang w:val="en-US" w:eastAsia="zh-CN" w:bidi="ar-SA"/>
          <w14:textFill>
            <w14:solidFill>
              <w14:schemeClr w14:val="tx1"/>
            </w14:solidFill>
          </w14:textFill>
        </w:rPr>
        <w:t>六、菌落总数</w:t>
      </w:r>
    </w:p>
    <w:p>
      <w:pPr>
        <w:keepNext w:val="0"/>
        <w:keepLines w:val="0"/>
        <w:pageBreakBefore w:val="0"/>
        <w:widowControl/>
        <w:kinsoku/>
        <w:overflowPunct/>
        <w:topLinePunct w:val="0"/>
        <w:autoSpaceDE/>
        <w:autoSpaceDN/>
        <w:bidi w:val="0"/>
        <w:adjustRightInd w:val="0"/>
        <w:snapToGrid/>
        <w:spacing w:beforeAutospacing="0" w:afterAutospacing="0" w:line="600" w:lineRule="exact"/>
        <w:ind w:left="0" w:right="0" w:firstLine="640" w:firstLineChars="200"/>
        <w:jc w:val="both"/>
        <w:textAlignment w:val="auto"/>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菌落总数是指示性微生物指标，用以反映食品卫生状况。超标原因可能是生产企业所使用的原辅料初始菌落数较高；也可能是生产加工过程中卫生条件控制不严格；还可能与产品包装密封不严、储运条件控制不当等有关。</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default" w:ascii="黑体" w:hAnsi="黑体" w:eastAsia="黑体" w:cs="仿宋_GB2312"/>
          <w:color w:val="000000" w:themeColor="text1"/>
          <w:kern w:val="2"/>
          <w:sz w:val="32"/>
          <w:szCs w:val="32"/>
          <w:u w:val="none"/>
          <w:lang w:val="en-US" w:eastAsia="zh-CN"/>
          <w14:textFill>
            <w14:solidFill>
              <w14:schemeClr w14:val="tx1"/>
            </w14:solidFill>
          </w14:textFill>
        </w:rPr>
      </w:pPr>
      <w:r>
        <w:rPr>
          <w:rFonts w:hint="eastAsia" w:ascii="黑体" w:hAnsi="黑体" w:eastAsia="黑体" w:cs="仿宋_GB2312"/>
          <w:color w:val="000000" w:themeColor="text1"/>
          <w:kern w:val="2"/>
          <w:sz w:val="32"/>
          <w:szCs w:val="32"/>
          <w:u w:val="none"/>
          <w:lang w:val="en-US" w:eastAsia="zh-CN"/>
          <w14:textFill>
            <w14:solidFill>
              <w14:schemeClr w14:val="tx1"/>
            </w14:solidFill>
          </w14:textFill>
        </w:rPr>
        <w:t>七、</w:t>
      </w:r>
      <w:r>
        <w:rPr>
          <w:rFonts w:hint="default" w:ascii="黑体" w:hAnsi="黑体" w:eastAsia="黑体" w:cs="仿宋_GB2312"/>
          <w:color w:val="000000" w:themeColor="text1"/>
          <w:kern w:val="2"/>
          <w:sz w:val="32"/>
          <w:szCs w:val="32"/>
          <w:u w:val="none"/>
          <w:lang w:val="en-US" w:eastAsia="zh-CN"/>
          <w14:textFill>
            <w14:solidFill>
              <w14:schemeClr w14:val="tx1"/>
            </w14:solidFill>
          </w14:textFill>
        </w:rPr>
        <w:t>啶虫脒</w:t>
      </w:r>
    </w:p>
    <w:p>
      <w:pPr>
        <w:keepNext w:val="0"/>
        <w:keepLines w:val="0"/>
        <w:pageBreakBefore w:val="0"/>
        <w:widowControl/>
        <w:kinsoku/>
        <w:wordWrap w:val="0"/>
        <w:overflowPunct/>
        <w:topLinePunct w:val="0"/>
        <w:autoSpaceDE/>
        <w:autoSpaceDN/>
        <w:bidi w:val="0"/>
        <w:adjustRightInd/>
        <w:snapToGrid/>
        <w:spacing w:beforeAutospacing="0" w:afterAutospacing="0" w:line="600" w:lineRule="exact"/>
        <w:ind w:left="0" w:right="0" w:firstLine="640" w:firstLineChars="200"/>
        <w:jc w:val="left"/>
        <w:textAlignment w:val="auto"/>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啶虫脒是一种烟碱类杀虫剂，具有触杀、胃毒和内吸作用，对蚜虫等有较好防效。《食品安全国家标准 食品中农药最大残留限量》GB 2763-2021中规定，啶虫脒在</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辣椒类</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的最大残留限量值为</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0.2mg/kg</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。啶虫脒残留量超标的原因，可能是为快速控制虫害，加大用药量或未遵守采摘间隔期规定，致使上市销售的产品中残留量超标。</w:t>
      </w:r>
    </w:p>
    <w:p>
      <w:pPr>
        <w:keepNext w:val="0"/>
        <w:keepLines w:val="0"/>
        <w:pageBreakBefore w:val="0"/>
        <w:numPr>
          <w:ilvl w:val="0"/>
          <w:numId w:val="0"/>
        </w:numPr>
        <w:kinsoku/>
        <w:overflowPunct/>
        <w:topLinePunct w:val="0"/>
        <w:autoSpaceDE/>
        <w:autoSpaceDN/>
        <w:bidi w:val="0"/>
        <w:adjustRightInd/>
        <w:snapToGrid/>
        <w:spacing w:line="600" w:lineRule="exact"/>
        <w:ind w:left="630" w:leftChars="0"/>
        <w:jc w:val="both"/>
        <w:textAlignment w:val="auto"/>
        <w:rPr>
          <w:rFonts w:hint="default" w:ascii="黑体" w:hAnsi="黑体" w:eastAsia="黑体" w:cs="仿宋_GB2312"/>
          <w:color w:val="auto"/>
          <w:kern w:val="2"/>
          <w:sz w:val="32"/>
          <w:szCs w:val="32"/>
          <w:u w:val="none"/>
          <w:lang w:val="en-US" w:eastAsia="zh-CN"/>
        </w:rPr>
      </w:pPr>
      <w:r>
        <w:rPr>
          <w:rFonts w:hint="eastAsia" w:ascii="黑体" w:hAnsi="黑体" w:eastAsia="黑体" w:cs="仿宋_GB2312"/>
          <w:color w:val="auto"/>
          <w:kern w:val="2"/>
          <w:sz w:val="32"/>
          <w:szCs w:val="32"/>
          <w:u w:val="none"/>
          <w:lang w:val="en-US" w:eastAsia="zh-CN"/>
        </w:rPr>
        <w:t>八、</w:t>
      </w:r>
      <w:r>
        <w:rPr>
          <w:rFonts w:hint="default" w:ascii="黑体" w:hAnsi="黑体" w:eastAsia="黑体" w:cs="仿宋_GB2312"/>
          <w:color w:val="auto"/>
          <w:kern w:val="2"/>
          <w:sz w:val="32"/>
          <w:szCs w:val="32"/>
          <w:u w:val="none"/>
          <w:lang w:val="en-US" w:eastAsia="zh-CN"/>
        </w:rPr>
        <w:t>甲氨基阿维菌素苯甲酸盐</w:t>
      </w:r>
    </w:p>
    <w:p>
      <w:pPr>
        <w:keepNext w:val="0"/>
        <w:keepLines w:val="0"/>
        <w:pageBreakBefore w:val="0"/>
        <w:widowControl/>
        <w:kinsoku/>
        <w:wordWrap w:val="0"/>
        <w:overflowPunct/>
        <w:topLinePunct w:val="0"/>
        <w:autoSpaceDE/>
        <w:autoSpaceDN/>
        <w:bidi w:val="0"/>
        <w:adjustRightInd/>
        <w:snapToGrid/>
        <w:spacing w:beforeAutospacing="0" w:afterAutospacing="0" w:line="600" w:lineRule="exact"/>
        <w:ind w:left="0" w:right="0" w:firstLine="640" w:firstLineChars="200"/>
        <w:jc w:val="left"/>
        <w:textAlignment w:val="auto"/>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甲氨基阿维菌素苯甲酸盐是一种大环内酯类杀虫剂</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《食品安全国家标准 食品中农药最大残留限量》（GB 2763-2021）中规定，甲氨基阿维菌素苯甲酸盐在</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辣椒中</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的最大残留限量值为0.02mg/kg。甲氨基阿维菌素苯甲酸盐残留量超标的原因，可能是为快速控制虫害，加大用药量或未遵守采摘间隔期规定，致使上市销售的产品中残留量超标</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w:t>
      </w:r>
    </w:p>
    <w:p>
      <w:pPr>
        <w:keepNext w:val="0"/>
        <w:keepLines w:val="0"/>
        <w:pageBreakBefore w:val="0"/>
        <w:numPr>
          <w:ilvl w:val="0"/>
          <w:numId w:val="0"/>
        </w:numPr>
        <w:kinsoku/>
        <w:overflowPunct/>
        <w:topLinePunct w:val="0"/>
        <w:autoSpaceDE/>
        <w:autoSpaceDN/>
        <w:bidi w:val="0"/>
        <w:adjustRightInd/>
        <w:snapToGrid/>
        <w:spacing w:line="600" w:lineRule="exact"/>
        <w:ind w:left="630" w:leftChars="0"/>
        <w:jc w:val="both"/>
        <w:textAlignment w:val="auto"/>
        <w:rPr>
          <w:rFonts w:hint="default" w:ascii="黑体" w:hAnsi="黑体" w:eastAsia="黑体" w:cs="仿宋_GB2312"/>
          <w:color w:val="000000" w:themeColor="text1"/>
          <w:kern w:val="2"/>
          <w:sz w:val="32"/>
          <w:szCs w:val="32"/>
          <w:highlight w:val="none"/>
          <w:u w:val="none"/>
          <w:lang w:val="en-US" w:eastAsia="zh-CN"/>
          <w14:textFill>
            <w14:solidFill>
              <w14:schemeClr w14:val="tx1"/>
            </w14:solidFill>
          </w14:textFill>
        </w:rPr>
      </w:pPr>
      <w:r>
        <w:rPr>
          <w:rFonts w:hint="eastAsia" w:ascii="黑体" w:hAnsi="黑体" w:eastAsia="黑体" w:cs="仿宋_GB2312"/>
          <w:color w:val="000000" w:themeColor="text1"/>
          <w:kern w:val="2"/>
          <w:sz w:val="32"/>
          <w:szCs w:val="32"/>
          <w:highlight w:val="none"/>
          <w:u w:val="none"/>
          <w:lang w:val="en-US" w:eastAsia="zh-CN"/>
          <w14:textFill>
            <w14:solidFill>
              <w14:schemeClr w14:val="tx1"/>
            </w14:solidFill>
          </w14:textFill>
        </w:rPr>
        <w:t>九、柠</w:t>
      </w:r>
      <w:r>
        <w:rPr>
          <w:rFonts w:hint="default" w:ascii="黑体" w:hAnsi="黑体" w:eastAsia="黑体" w:cs="仿宋_GB2312"/>
          <w:color w:val="000000" w:themeColor="text1"/>
          <w:kern w:val="2"/>
          <w:sz w:val="32"/>
          <w:szCs w:val="32"/>
          <w:highlight w:val="none"/>
          <w:u w:val="none"/>
          <w:lang w:val="en-US" w:eastAsia="zh-CN"/>
          <w14:textFill>
            <w14:solidFill>
              <w14:schemeClr w14:val="tx1"/>
            </w14:solidFill>
          </w14:textFill>
        </w:rPr>
        <w:t>檬黄</w:t>
      </w:r>
    </w:p>
    <w:p>
      <w:pPr>
        <w:keepNext w:val="0"/>
        <w:keepLines w:val="0"/>
        <w:pageBreakBefore w:val="0"/>
        <w:widowControl/>
        <w:kinsoku/>
        <w:wordWrap w:val="0"/>
        <w:overflowPunct/>
        <w:topLinePunct w:val="0"/>
        <w:autoSpaceDE/>
        <w:autoSpaceDN/>
        <w:bidi w:val="0"/>
        <w:adjustRightInd/>
        <w:snapToGrid/>
        <w:spacing w:beforeAutospacing="0" w:afterAutospacing="0" w:line="600" w:lineRule="exact"/>
        <w:ind w:left="0" w:right="0" w:firstLine="640" w:firstLineChars="200"/>
        <w:jc w:val="left"/>
        <w:textAlignment w:val="auto"/>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柠檬黄又称酒石黄、酸性淡黄、肼黄，是常见的人工合成着色剂，主要是使食品着色，是赋予和改善食品色泽的物质，没有营养价值。《食品安全国家标准 食品添加剂使用标准》（GB 2760）中规定柠檬黄在</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糕点</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中不得</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添加</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。柠檬黄不合格可能是企业在生产加工过程中超范围使用食品添加剂。</w:t>
      </w:r>
    </w:p>
    <w:p>
      <w:pPr>
        <w:keepNext w:val="0"/>
        <w:keepLines w:val="0"/>
        <w:pageBreakBefore w:val="0"/>
        <w:kinsoku/>
        <w:wordWrap w:val="0"/>
        <w:overflowPunct/>
        <w:topLinePunct w:val="0"/>
        <w:autoSpaceDE/>
        <w:autoSpaceDN w:val="0"/>
        <w:bidi w:val="0"/>
        <w:adjustRightInd/>
        <w:snapToGrid/>
        <w:spacing w:line="600" w:lineRule="exact"/>
        <w:ind w:firstLine="640" w:firstLineChars="200"/>
        <w:jc w:val="left"/>
        <w:textAlignment w:val="auto"/>
        <w:rPr>
          <w:rFonts w:hint="eastAsia" w:ascii="黑体" w:hAnsi="黑体" w:eastAsia="黑体" w:cs="仿宋_GB2312"/>
          <w:color w:val="000000" w:themeColor="text1"/>
          <w:kern w:val="2"/>
          <w:sz w:val="32"/>
          <w:szCs w:val="32"/>
          <w:u w:val="none"/>
          <w:lang w:val="en-US" w:eastAsia="zh-CN"/>
          <w14:textFill>
            <w14:solidFill>
              <w14:schemeClr w14:val="tx1"/>
            </w14:solidFill>
          </w14:textFill>
        </w:rPr>
      </w:pPr>
      <w:r>
        <w:rPr>
          <w:rFonts w:hint="eastAsia" w:ascii="黑体" w:hAnsi="黑体" w:eastAsia="黑体" w:cs="仿宋_GB2312"/>
          <w:color w:val="000000" w:themeColor="text1"/>
          <w:kern w:val="2"/>
          <w:sz w:val="32"/>
          <w:szCs w:val="32"/>
          <w:u w:val="none"/>
          <w:lang w:val="en-US" w:eastAsia="zh-CN"/>
          <w14:textFill>
            <w14:solidFill>
              <w14:schemeClr w14:val="tx1"/>
            </w14:solidFill>
          </w14:textFill>
        </w:rPr>
        <w:t>十、大肠菌群</w:t>
      </w:r>
    </w:p>
    <w:p>
      <w:pPr>
        <w:keepNext w:val="0"/>
        <w:keepLines w:val="0"/>
        <w:pageBreakBefore w:val="0"/>
        <w:widowControl/>
        <w:kinsoku/>
        <w:wordWrap w:val="0"/>
        <w:overflowPunct/>
        <w:topLinePunct w:val="0"/>
        <w:autoSpaceDE/>
        <w:autoSpaceDN/>
        <w:bidi w:val="0"/>
        <w:adjustRightInd/>
        <w:snapToGrid/>
        <w:spacing w:beforeAutospacing="0" w:afterAutospacing="0" w:line="600" w:lineRule="exact"/>
        <w:ind w:left="0" w:right="0" w:firstLine="640" w:firstLineChars="200"/>
        <w:jc w:val="left"/>
        <w:textAlignment w:val="auto"/>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大肠菌群，是国内外通用的食品污染常用指示菌之一。检出大肠菌群，是有被致病菌(如沙门菌、志贺菌、致病性大肠杆菌)污染的可能。大肠菌群超标的原因可能是由于产品受到了来自原料、包材、人员、设备等方面的污染，或产品储运条件不当而导致。</w:t>
      </w:r>
    </w:p>
    <w:p>
      <w:pPr>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000000"/>
          <w:kern w:val="2"/>
          <w:sz w:val="32"/>
          <w:szCs w:val="32"/>
          <w:u w:val="none"/>
          <w:lang w:val="en-US" w:eastAsia="zh-CN" w:bidi="ar-SA"/>
        </w:rPr>
      </w:pPr>
      <w:r>
        <w:rPr>
          <w:rFonts w:hint="eastAsia" w:ascii="黑体" w:hAnsi="黑体" w:eastAsia="黑体" w:cs="Times New Roman"/>
          <w:color w:val="000000"/>
          <w:kern w:val="2"/>
          <w:sz w:val="32"/>
          <w:szCs w:val="32"/>
          <w:u w:val="none"/>
          <w:lang w:val="en-US" w:eastAsia="zh-CN" w:bidi="ar-SA"/>
        </w:rPr>
        <w:t>十一、甲拌磷</w:t>
      </w:r>
    </w:p>
    <w:p>
      <w:pPr>
        <w:keepNext w:val="0"/>
        <w:keepLines w:val="0"/>
        <w:pageBreakBefore w:val="0"/>
        <w:widowControl/>
        <w:kinsoku/>
        <w:wordWrap w:val="0"/>
        <w:overflowPunct/>
        <w:topLinePunct w:val="0"/>
        <w:autoSpaceDE/>
        <w:autoSpaceDN/>
        <w:bidi w:val="0"/>
        <w:adjustRightInd/>
        <w:snapToGrid/>
        <w:spacing w:beforeAutospacing="0" w:afterAutospacing="0" w:line="600" w:lineRule="exact"/>
        <w:ind w:left="0" w:right="0" w:firstLine="640"/>
        <w:jc w:val="both"/>
        <w:textAlignment w:val="auto"/>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甲拌磷是一种高毒广谱的内吸性有机磷类杀虫剂。《食品安全国家标准 食品中农药最大残留限量》（GB 2763—2021）中规定，甲拌磷在姜中的最大残留限量值为0.01mg/kg。食用农产品中甲拌磷残留量超标的原因，可能是为快速控制虫害而违规使用。</w:t>
      </w:r>
    </w:p>
    <w:p>
      <w:pPr>
        <w:keepNext w:val="0"/>
        <w:keepLines w:val="0"/>
        <w:pageBreakBefore w:val="0"/>
        <w:numPr>
          <w:ilvl w:val="0"/>
          <w:numId w:val="1"/>
        </w:numPr>
        <w:kinsoku/>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Times New Roman"/>
          <w:color w:val="000000"/>
          <w:kern w:val="2"/>
          <w:sz w:val="32"/>
          <w:szCs w:val="32"/>
          <w:u w:val="none"/>
          <w:lang w:val="en-US" w:eastAsia="zh-CN" w:bidi="ar-SA"/>
        </w:rPr>
      </w:pPr>
      <w:r>
        <w:rPr>
          <w:rFonts w:hint="eastAsia" w:ascii="黑体" w:hAnsi="黑体" w:eastAsia="黑体" w:cs="Times New Roman"/>
          <w:color w:val="000000"/>
          <w:kern w:val="2"/>
          <w:sz w:val="32"/>
          <w:szCs w:val="32"/>
          <w:u w:val="none"/>
          <w:lang w:val="en-US" w:eastAsia="zh-CN" w:bidi="ar-SA"/>
        </w:rPr>
        <w:t>每粒维生素D₃(以胆钙化醇计)</w:t>
      </w:r>
    </w:p>
    <w:p>
      <w:pPr>
        <w:keepNext w:val="0"/>
        <w:keepLines w:val="0"/>
        <w:pageBreakBefore w:val="0"/>
        <w:widowControl/>
        <w:kinsoku/>
        <w:wordWrap w:val="0"/>
        <w:overflowPunct/>
        <w:topLinePunct w:val="0"/>
        <w:autoSpaceDE/>
        <w:autoSpaceDN/>
        <w:bidi w:val="0"/>
        <w:adjustRightInd/>
        <w:snapToGrid/>
        <w:spacing w:beforeAutospacing="0" w:afterAutospacing="0" w:line="600" w:lineRule="exact"/>
        <w:ind w:left="0" w:right="0" w:firstLine="640"/>
        <w:jc w:val="both"/>
        <w:textAlignment w:val="auto"/>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维生素D₃是维生素D的一种形式，是维生素D的天然活性形式之一</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属于固醇类衍生物</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脂溶性维生素。维生素D₃主要功能是促进钙磷吸收、维持骨骼健康，并参与免疫调节、神经功能等生理活动。</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维生素D₃不达标原因可能是‌原辅料质量控制不严格，也可能是生产工艺控制不当导致。‌</w:t>
      </w:r>
    </w:p>
    <w:p>
      <w:pPr>
        <w:keepNext w:val="0"/>
        <w:keepLines w:val="0"/>
        <w:pageBreakBefore w:val="0"/>
        <w:numPr>
          <w:ilvl w:val="0"/>
          <w:numId w:val="0"/>
        </w:numPr>
        <w:kinsoku/>
        <w:overflowPunct/>
        <w:topLinePunct w:val="0"/>
        <w:autoSpaceDE/>
        <w:bidi w:val="0"/>
        <w:adjustRightInd/>
        <w:snapToGrid/>
        <w:spacing w:line="600" w:lineRule="exact"/>
        <w:ind w:firstLine="640" w:firstLineChars="200"/>
        <w:textAlignment w:val="auto"/>
        <w:rPr>
          <w:rFonts w:hint="eastAsia" w:ascii="黑体" w:hAnsi="黑体" w:eastAsia="黑体" w:cs="仿宋_GB2312"/>
          <w:color w:val="auto"/>
          <w:kern w:val="2"/>
          <w:sz w:val="32"/>
          <w:szCs w:val="32"/>
          <w:u w:val="none"/>
          <w:lang w:val="en-US" w:eastAsia="zh-CN"/>
        </w:rPr>
      </w:pPr>
      <w:r>
        <w:rPr>
          <w:rFonts w:hint="eastAsia" w:ascii="黑体" w:hAnsi="黑体" w:eastAsia="黑体" w:cs="仿宋_GB2312"/>
          <w:color w:val="000000" w:themeColor="text1"/>
          <w:kern w:val="2"/>
          <w:sz w:val="32"/>
          <w:szCs w:val="32"/>
          <w:u w:val="none"/>
          <w:lang w:val="en-US" w:eastAsia="zh-CN" w:bidi="ar-SA"/>
          <w14:textFill>
            <w14:solidFill>
              <w14:schemeClr w14:val="tx1"/>
            </w14:solidFill>
          </w14:textFill>
        </w:rPr>
        <w:t>十三、</w:t>
      </w:r>
      <w:r>
        <w:rPr>
          <w:rFonts w:hint="eastAsia" w:ascii="黑体" w:hAnsi="黑体" w:eastAsia="黑体" w:cs="仿宋_GB2312"/>
          <w:color w:val="auto"/>
          <w:kern w:val="2"/>
          <w:sz w:val="32"/>
          <w:szCs w:val="32"/>
          <w:u w:val="none"/>
          <w:lang w:val="en-US" w:eastAsia="zh-CN"/>
        </w:rPr>
        <w:t>过氧化值</w:t>
      </w:r>
    </w:p>
    <w:p>
      <w:pPr>
        <w:keepNext w:val="0"/>
        <w:keepLines w:val="0"/>
        <w:pageBreakBefore w:val="0"/>
        <w:numPr>
          <w:ilvl w:val="0"/>
          <w:numId w:val="0"/>
        </w:numPr>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过氧化值主要反映食品中油脂是否氧化变质。随着油脂氧化，过氧化值会逐步升高。过氧化值超标的原因，可能是产品用油已经变质，或者产品在储存过程中环境条件控制不当，导致油脂酸败；也可能是原料储存不当，未采取有效的抗氧化措施，使得</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原料中的脂肪已经氧化，</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导致</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终产品油脂氧化酸败</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w:t>
      </w:r>
    </w:p>
    <w:p>
      <w:pPr>
        <w:keepNext w:val="0"/>
        <w:keepLines w:val="0"/>
        <w:pageBreakBefore w:val="0"/>
        <w:numPr>
          <w:ilvl w:val="0"/>
          <w:numId w:val="0"/>
        </w:numPr>
        <w:kinsoku/>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仿宋_GB2312"/>
          <w:color w:val="000000" w:themeColor="text1"/>
          <w:kern w:val="2"/>
          <w:sz w:val="32"/>
          <w:szCs w:val="32"/>
          <w:u w:val="none"/>
          <w:lang w:val="en-US" w:eastAsia="zh-CN" w:bidi="ar-SA"/>
          <w14:textFill>
            <w14:solidFill>
              <w14:schemeClr w14:val="tx1"/>
            </w14:solidFill>
          </w14:textFill>
        </w:rPr>
      </w:pPr>
      <w:r>
        <w:rPr>
          <w:rFonts w:hint="eastAsia" w:ascii="黑体" w:hAnsi="黑体" w:eastAsia="黑体" w:cs="仿宋_GB2312"/>
          <w:color w:val="000000" w:themeColor="text1"/>
          <w:kern w:val="2"/>
          <w:sz w:val="32"/>
          <w:szCs w:val="32"/>
          <w:u w:val="none"/>
          <w:lang w:val="en-US" w:eastAsia="zh-CN" w:bidi="ar-SA"/>
          <w14:textFill>
            <w14:solidFill>
              <w14:schemeClr w14:val="tx1"/>
            </w14:solidFill>
          </w14:textFill>
        </w:rPr>
        <w:t>十四、二氧化氯</w:t>
      </w:r>
    </w:p>
    <w:p>
      <w:pPr>
        <w:keepNext w:val="0"/>
        <w:keepLines w:val="0"/>
        <w:pageBreakBefore w:val="0"/>
        <w:numPr>
          <w:ilvl w:val="0"/>
          <w:numId w:val="0"/>
        </w:numPr>
        <w:kinsoku/>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pPr>
      <w:bookmarkStart w:id="0" w:name="OLE_LINK1"/>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二氧化氯</w:t>
      </w:r>
      <w:bookmarkEnd w:id="0"/>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在食品加工和储存过程中常作为保鲜剂使用，其可以</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通过抑制微生物繁殖</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及</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延缓果蔬腐败代谢</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来</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实现保鲜功能。</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《食品安全国家标准食品添加剂使用标准》(GB 2760-2024)中规定，二氧化氯在经表面处理的鲜水果和新鲜蔬菜中的最大使用量为0.01g/kg。二氧化氯超标的原因可能是生产企业为了</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延长食品的保质期</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而超量使用二氧化氯，或者在使用时计量不准确等。</w:t>
      </w:r>
    </w:p>
    <w:sectPr>
      <w:headerReference r:id="rId3" w:type="default"/>
      <w:footerReference r:id="rId4" w:type="default"/>
      <w:pgSz w:w="11906" w:h="16838"/>
      <w:pgMar w:top="2098" w:right="1587"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roman"/>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92FA1A"/>
    <w:multiLevelType w:val="singleLevel"/>
    <w:tmpl w:val="8E92FA1A"/>
    <w:lvl w:ilvl="0" w:tentative="0">
      <w:start w:val="1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RkMzExMGFjNGI3MGU0NmMxMTA3NmIzOWNmMWZkMzgifQ=="/>
  </w:docVars>
  <w:rsids>
    <w:rsidRoot w:val="0C8C4767"/>
    <w:rsid w:val="01B70B11"/>
    <w:rsid w:val="02D4355F"/>
    <w:rsid w:val="05186D88"/>
    <w:rsid w:val="051C7148"/>
    <w:rsid w:val="05745268"/>
    <w:rsid w:val="069C2004"/>
    <w:rsid w:val="06D74455"/>
    <w:rsid w:val="077B57F1"/>
    <w:rsid w:val="078E2491"/>
    <w:rsid w:val="07C81AF5"/>
    <w:rsid w:val="08123F6F"/>
    <w:rsid w:val="08A27FDB"/>
    <w:rsid w:val="08F71048"/>
    <w:rsid w:val="0911726A"/>
    <w:rsid w:val="0ADC2FBC"/>
    <w:rsid w:val="0B45380D"/>
    <w:rsid w:val="0BA40294"/>
    <w:rsid w:val="0C8C4767"/>
    <w:rsid w:val="0D7F373F"/>
    <w:rsid w:val="0EDE2A98"/>
    <w:rsid w:val="0F39699B"/>
    <w:rsid w:val="10D66823"/>
    <w:rsid w:val="11CB0F6B"/>
    <w:rsid w:val="148F26F1"/>
    <w:rsid w:val="15EC594F"/>
    <w:rsid w:val="167B6CBC"/>
    <w:rsid w:val="168C6AE4"/>
    <w:rsid w:val="17677D3A"/>
    <w:rsid w:val="18484AED"/>
    <w:rsid w:val="19212ABA"/>
    <w:rsid w:val="1924456A"/>
    <w:rsid w:val="193E766E"/>
    <w:rsid w:val="1A1F09D3"/>
    <w:rsid w:val="1B213BE1"/>
    <w:rsid w:val="1B303622"/>
    <w:rsid w:val="1C2A5945"/>
    <w:rsid w:val="1CAB48B3"/>
    <w:rsid w:val="1D4213BE"/>
    <w:rsid w:val="1F774E39"/>
    <w:rsid w:val="225E6E53"/>
    <w:rsid w:val="232572E3"/>
    <w:rsid w:val="23917A33"/>
    <w:rsid w:val="23F60CAA"/>
    <w:rsid w:val="242749E3"/>
    <w:rsid w:val="2462067D"/>
    <w:rsid w:val="2466310B"/>
    <w:rsid w:val="25586759"/>
    <w:rsid w:val="25B10A6B"/>
    <w:rsid w:val="26631425"/>
    <w:rsid w:val="269B2CCF"/>
    <w:rsid w:val="26DF4641"/>
    <w:rsid w:val="272354B2"/>
    <w:rsid w:val="279C4F22"/>
    <w:rsid w:val="27A95480"/>
    <w:rsid w:val="28B22DF6"/>
    <w:rsid w:val="29572E48"/>
    <w:rsid w:val="2A2D3458"/>
    <w:rsid w:val="2A8B307E"/>
    <w:rsid w:val="2AA373AB"/>
    <w:rsid w:val="2BAF5CCC"/>
    <w:rsid w:val="2BCE09B8"/>
    <w:rsid w:val="2D851703"/>
    <w:rsid w:val="2DB63420"/>
    <w:rsid w:val="2ED91C95"/>
    <w:rsid w:val="2F3B1D8A"/>
    <w:rsid w:val="31921EC9"/>
    <w:rsid w:val="31B5579D"/>
    <w:rsid w:val="324E00CB"/>
    <w:rsid w:val="32882B90"/>
    <w:rsid w:val="332F602F"/>
    <w:rsid w:val="33775400"/>
    <w:rsid w:val="33883CFF"/>
    <w:rsid w:val="34CA45A9"/>
    <w:rsid w:val="34CC7B36"/>
    <w:rsid w:val="36225F84"/>
    <w:rsid w:val="36441098"/>
    <w:rsid w:val="394C3FD2"/>
    <w:rsid w:val="397F29C3"/>
    <w:rsid w:val="39B72E0C"/>
    <w:rsid w:val="3AE350CD"/>
    <w:rsid w:val="3C0E1DC6"/>
    <w:rsid w:val="3C350180"/>
    <w:rsid w:val="3C9447FE"/>
    <w:rsid w:val="3CB27B7F"/>
    <w:rsid w:val="3D5E681B"/>
    <w:rsid w:val="3E971DB6"/>
    <w:rsid w:val="3EAE1333"/>
    <w:rsid w:val="40207544"/>
    <w:rsid w:val="4039711A"/>
    <w:rsid w:val="41EA767F"/>
    <w:rsid w:val="42C5372B"/>
    <w:rsid w:val="42F952C2"/>
    <w:rsid w:val="435033F0"/>
    <w:rsid w:val="44981A1A"/>
    <w:rsid w:val="451200B3"/>
    <w:rsid w:val="460D6897"/>
    <w:rsid w:val="47AF2AD7"/>
    <w:rsid w:val="49496DDF"/>
    <w:rsid w:val="49810C65"/>
    <w:rsid w:val="4B140ACE"/>
    <w:rsid w:val="4BD82108"/>
    <w:rsid w:val="4C615739"/>
    <w:rsid w:val="4E2626A5"/>
    <w:rsid w:val="4E2C5712"/>
    <w:rsid w:val="4FBE9E45"/>
    <w:rsid w:val="508E0988"/>
    <w:rsid w:val="50BD5E1A"/>
    <w:rsid w:val="50CD6CD5"/>
    <w:rsid w:val="51281701"/>
    <w:rsid w:val="51DB6199"/>
    <w:rsid w:val="53446C55"/>
    <w:rsid w:val="56086DBD"/>
    <w:rsid w:val="56425A22"/>
    <w:rsid w:val="567A47C5"/>
    <w:rsid w:val="584D5EC8"/>
    <w:rsid w:val="59224657"/>
    <w:rsid w:val="593659D6"/>
    <w:rsid w:val="59907A40"/>
    <w:rsid w:val="59A613CA"/>
    <w:rsid w:val="59B142AA"/>
    <w:rsid w:val="5B380402"/>
    <w:rsid w:val="5B5E0D89"/>
    <w:rsid w:val="5B8A75CF"/>
    <w:rsid w:val="5C03111E"/>
    <w:rsid w:val="5C454A26"/>
    <w:rsid w:val="5CB3361E"/>
    <w:rsid w:val="5D6D3F12"/>
    <w:rsid w:val="5D817942"/>
    <w:rsid w:val="5DC475F0"/>
    <w:rsid w:val="5DFD4AA2"/>
    <w:rsid w:val="5E1E6906"/>
    <w:rsid w:val="5E410E7A"/>
    <w:rsid w:val="5ED95286"/>
    <w:rsid w:val="5FC26101"/>
    <w:rsid w:val="60A46527"/>
    <w:rsid w:val="62393C54"/>
    <w:rsid w:val="62E247CC"/>
    <w:rsid w:val="63217256"/>
    <w:rsid w:val="648D0CE1"/>
    <w:rsid w:val="65BE4C71"/>
    <w:rsid w:val="67C67CD1"/>
    <w:rsid w:val="68DA55BD"/>
    <w:rsid w:val="69137A29"/>
    <w:rsid w:val="69545978"/>
    <w:rsid w:val="6AD24F09"/>
    <w:rsid w:val="6AF01E77"/>
    <w:rsid w:val="6B3B0481"/>
    <w:rsid w:val="6CE62940"/>
    <w:rsid w:val="6D512028"/>
    <w:rsid w:val="6DFF29E8"/>
    <w:rsid w:val="6FE2402A"/>
    <w:rsid w:val="6FF80097"/>
    <w:rsid w:val="702448C4"/>
    <w:rsid w:val="71D631AF"/>
    <w:rsid w:val="72B73991"/>
    <w:rsid w:val="748C7A82"/>
    <w:rsid w:val="75AD538A"/>
    <w:rsid w:val="76CB3F79"/>
    <w:rsid w:val="772D16F5"/>
    <w:rsid w:val="77704BDB"/>
    <w:rsid w:val="77745CF2"/>
    <w:rsid w:val="782C2288"/>
    <w:rsid w:val="782C5622"/>
    <w:rsid w:val="785415C7"/>
    <w:rsid w:val="78B639CE"/>
    <w:rsid w:val="796803D8"/>
    <w:rsid w:val="7A935AC6"/>
    <w:rsid w:val="7CC58F73"/>
    <w:rsid w:val="7CCF0986"/>
    <w:rsid w:val="7D32167A"/>
    <w:rsid w:val="7E8B0487"/>
    <w:rsid w:val="7FEF188D"/>
    <w:rsid w:val="BD6B9D4D"/>
    <w:rsid w:val="BFB2B8C5"/>
    <w:rsid w:val="F7DED237"/>
    <w:rsid w:val="FFC6FF77"/>
    <w:rsid w:val="FFFB17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2"/>
    <w:next w:val="1"/>
    <w:unhideWhenUsed/>
    <w:qFormat/>
    <w:uiPriority w:val="0"/>
    <w:pPr>
      <w:keepNext/>
      <w:keepLines/>
      <w:widowControl w:val="0"/>
      <w:spacing w:line="360" w:lineRule="auto"/>
      <w:ind w:firstLine="0" w:firstLineChars="0"/>
      <w:jc w:val="both"/>
      <w:outlineLvl w:val="1"/>
    </w:pPr>
    <w:rPr>
      <w:rFonts w:ascii="Arial" w:hAnsi="Arial" w:eastAsia="宋体" w:cs="黑体"/>
      <w:b/>
      <w:bCs/>
      <w:kern w:val="2"/>
      <w:sz w:val="32"/>
      <w:szCs w:val="32"/>
      <w:lang w:val="en-US" w:eastAsia="zh-CN" w:bidi="ar-SA"/>
    </w:rPr>
  </w:style>
  <w:style w:type="character" w:default="1" w:styleId="10">
    <w:name w:val="Default Paragraph Font"/>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rFonts w:ascii="Times New Roman" w:hAnsi="Times New Roman" w:cs="Times New Roman"/>
      <w:szCs w:val="20"/>
    </w:rPr>
  </w:style>
  <w:style w:type="paragraph" w:styleId="4">
    <w:name w:val="Body Text Indent"/>
    <w:basedOn w:val="1"/>
    <w:unhideWhenUsed/>
    <w:qFormat/>
    <w:uiPriority w:val="99"/>
    <w:pPr>
      <w:spacing w:after="120"/>
      <w:ind w:left="420" w:leftChars="200"/>
    </w:pPr>
    <w:rPr>
      <w:rFonts w:hAnsi="Calibri"/>
      <w:kern w:val="0"/>
      <w:szCs w:val="20"/>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Lines="0" w:beforeAutospacing="1" w:after="100" w:afterLines="0" w:afterAutospacing="1"/>
      <w:ind w:left="0" w:right="0"/>
      <w:jc w:val="left"/>
    </w:pPr>
    <w:rPr>
      <w:color w:val="CC0000"/>
      <w:kern w:val="0"/>
      <w:sz w:val="24"/>
      <w:u w:val="single"/>
      <w:lang w:val="en-US" w:eastAsia="zh-CN" w:bidi="ar-SA"/>
    </w:rPr>
  </w:style>
  <w:style w:type="paragraph" w:styleId="8">
    <w:name w:val="Body Text First Indent 2"/>
    <w:basedOn w:val="4"/>
    <w:unhideWhenUsed/>
    <w:qFormat/>
    <w:uiPriority w:val="99"/>
    <w:pPr>
      <w:ind w:firstLine="420" w:firstLineChars="200"/>
    </w:pPr>
  </w:style>
  <w:style w:type="character" w:styleId="11">
    <w:name w:val="Hyperlink"/>
    <w:basedOn w:val="10"/>
    <w:qFormat/>
    <w:uiPriority w:val="0"/>
    <w:rPr>
      <w:color w:val="0000FF"/>
      <w:u w:val="single"/>
    </w:rPr>
  </w:style>
  <w:style w:type="paragraph" w:customStyle="1" w:styleId="1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1120</Words>
  <Characters>1167</Characters>
  <Lines>0</Lines>
  <Paragraphs>0</Paragraphs>
  <TotalTime>3</TotalTime>
  <ScaleCrop>false</ScaleCrop>
  <LinksUpToDate>false</LinksUpToDate>
  <CharactersWithSpaces>1169</CharactersWithSpaces>
  <Application>WPS Office_11.8.2.12356_F1E327BC-269C-435d-A152-05C5408002CA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2021-11-11T06:11:00Z</dcterms:created>
  <dc:creator>anshenghui</dc:creator>
  <cp:lastModifiedBy>zzq</cp:lastModifiedBy>
  <cp:lastPrinted>2021-11-11T09:23:00Z</cp:lastPrinted>
  <dcterms:modified xsi:type="dcterms:W3CDTF">2025-09-11T19:24:43Z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2052-11.8.2.12356</vt:lpwstr>
  </property>
  <property fmtid="{D5CDD505-2E9C-101B-9397-08002B2CF9AE}" pid="3" name="ICV">
    <vt:lpwstr>9388552A3F8F44BFA71C3BF15F92E151_13</vt:lpwstr>
  </property>
</Properties>
</file>