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adjustRightInd/>
        <w:snapToGrid/>
        <w:spacing w:line="600" w:lineRule="exact"/>
        <w:jc w:val="both"/>
        <w:textAlignment w:val="auto"/>
        <w:rPr>
          <w:rFonts w:hint="eastAsia" w:ascii="黑体" w:hAnsi="黑体" w:eastAsia="黑体"/>
          <w:color w:val="000000" w:themeColor="text1"/>
          <w:sz w:val="32"/>
          <w:szCs w:val="32"/>
          <w14:textFill>
            <w14:solidFill>
              <w14:schemeClr w14:val="tx1"/>
            </w14:solidFill>
          </w14:textFill>
        </w:rPr>
      </w:pPr>
      <w:bookmarkStart w:id="0" w:name="_GoBack"/>
      <w:r>
        <w:rPr>
          <w:rFonts w:hint="eastAsia" w:ascii="黑体" w:hAnsi="黑体" w:eastAsia="黑体"/>
          <w:color w:val="000000" w:themeColor="text1"/>
          <w:sz w:val="32"/>
          <w:szCs w:val="32"/>
          <w14:textFill>
            <w14:solidFill>
              <w14:schemeClr w14:val="tx1"/>
            </w14:solidFill>
          </w14:textFill>
        </w:rPr>
        <w:t>附件1</w:t>
      </w:r>
    </w:p>
    <w:p>
      <w:pPr>
        <w:pStyle w:val="6"/>
        <w:keepNext w:val="0"/>
        <w:keepLines w:val="0"/>
        <w:pageBreakBefore w:val="0"/>
        <w:widowControl/>
        <w:kinsoku/>
        <w:wordWrap w:val="0"/>
        <w:overflowPunct/>
        <w:topLinePunct w:val="0"/>
        <w:autoSpaceDE/>
        <w:autoSpaceDN/>
        <w:bidi w:val="0"/>
        <w:adjustRightInd/>
        <w:snapToGrid/>
        <w:spacing w:before="0" w:beforeLines="0" w:beforeAutospacing="0" w:after="0" w:afterLines="0" w:afterAutospacing="0" w:line="600" w:lineRule="exact"/>
        <w:jc w:val="both"/>
        <w:textAlignment w:val="auto"/>
        <w:rPr>
          <w:rFonts w:hint="eastAsia" w:ascii="宋体" w:hAnsi="宋体"/>
          <w:color w:val="000000" w:themeColor="text1"/>
          <w:sz w:val="32"/>
          <w:szCs w:val="32"/>
          <w:u w:val="none"/>
          <w14:textFill>
            <w14:solidFill>
              <w14:schemeClr w14:val="tx1"/>
            </w14:solidFill>
          </w14:textFill>
        </w:rPr>
      </w:pPr>
    </w:p>
    <w:p>
      <w:pPr>
        <w:pStyle w:val="6"/>
        <w:keepNext w:val="0"/>
        <w:keepLines w:val="0"/>
        <w:pageBreakBefore w:val="0"/>
        <w:widowControl/>
        <w:kinsoku/>
        <w:wordWrap w:val="0"/>
        <w:overflowPunct/>
        <w:topLinePunct w:val="0"/>
        <w:autoSpaceDE/>
        <w:autoSpaceDN/>
        <w:bidi w:val="0"/>
        <w:adjustRightInd/>
        <w:snapToGrid/>
        <w:spacing w:before="0" w:beforeLines="0" w:beforeAutospacing="0" w:after="0" w:afterLines="0" w:afterAutospacing="0" w:line="600" w:lineRule="exact"/>
        <w:jc w:val="center"/>
        <w:textAlignment w:val="auto"/>
        <w:rPr>
          <w:rFonts w:hint="eastAsia" w:ascii="方正小标宋简体" w:eastAsia="方正小标宋简体"/>
          <w:color w:val="000000" w:themeColor="text1"/>
          <w:spacing w:val="-12"/>
          <w:sz w:val="44"/>
          <w:szCs w:val="44"/>
          <w:u w:val="none"/>
          <w14:textFill>
            <w14:solidFill>
              <w14:schemeClr w14:val="tx1"/>
            </w14:solidFill>
          </w14:textFill>
        </w:rPr>
      </w:pPr>
      <w:r>
        <w:rPr>
          <w:rFonts w:hint="eastAsia" w:ascii="方正小标宋简体" w:eastAsia="方正小标宋简体"/>
          <w:color w:val="000000" w:themeColor="text1"/>
          <w:spacing w:val="-12"/>
          <w:sz w:val="44"/>
          <w:szCs w:val="44"/>
          <w:u w:val="none"/>
          <w14:textFill>
            <w14:solidFill>
              <w14:schemeClr w14:val="tx1"/>
            </w14:solidFill>
          </w14:textFill>
        </w:rPr>
        <w:t>部分不合格项目的小知识</w:t>
      </w:r>
    </w:p>
    <w:p>
      <w:pPr>
        <w:pStyle w:val="6"/>
        <w:keepNext w:val="0"/>
        <w:keepLines w:val="0"/>
        <w:pageBreakBefore w:val="0"/>
        <w:widowControl/>
        <w:kinsoku/>
        <w:wordWrap w:val="0"/>
        <w:overflowPunct/>
        <w:topLinePunct w:val="0"/>
        <w:autoSpaceDE/>
        <w:autoSpaceDN/>
        <w:bidi w:val="0"/>
        <w:adjustRightInd/>
        <w:snapToGrid/>
        <w:spacing w:before="0" w:beforeLines="0" w:beforeAutospacing="0" w:after="0" w:afterLines="0" w:afterAutospacing="0" w:line="600" w:lineRule="exact"/>
        <w:jc w:val="both"/>
        <w:textAlignment w:val="auto"/>
        <w:rPr>
          <w:rFonts w:hint="eastAsia" w:ascii="方正小标宋简体" w:eastAsia="方正小标宋简体"/>
          <w:color w:val="000000" w:themeColor="text1"/>
          <w:spacing w:val="-12"/>
          <w:sz w:val="44"/>
          <w:szCs w:val="44"/>
          <w:u w:val="none"/>
          <w14:textFill>
            <w14:solidFill>
              <w14:schemeClr w14:val="tx1"/>
            </w14:solidFill>
          </w14:textFill>
        </w:rPr>
      </w:pPr>
    </w:p>
    <w:p>
      <w:pPr>
        <w:keepNext w:val="0"/>
        <w:keepLines w:val="0"/>
        <w:pageBreakBefore w:val="0"/>
        <w:numPr>
          <w:ilvl w:val="0"/>
          <w:numId w:val="0"/>
        </w:numPr>
        <w:kinsoku/>
        <w:overflowPunct/>
        <w:topLinePunct w:val="0"/>
        <w:autoSpaceDE/>
        <w:autoSpaceDN/>
        <w:bidi w:val="0"/>
        <w:adjustRightInd/>
        <w:snapToGrid/>
        <w:spacing w:line="600" w:lineRule="exact"/>
        <w:ind w:firstLine="640" w:firstLineChars="200"/>
        <w:jc w:val="both"/>
        <w:textAlignment w:val="auto"/>
        <w:rPr>
          <w:rFonts w:hint="default" w:ascii="黑体" w:hAnsi="黑体" w:eastAsia="黑体" w:cs="仿宋_GB2312"/>
          <w:color w:val="auto"/>
          <w:kern w:val="2"/>
          <w:sz w:val="32"/>
          <w:szCs w:val="32"/>
          <w:u w:val="none"/>
          <w:lang w:val="en-US" w:eastAsia="zh-CN"/>
        </w:rPr>
      </w:pPr>
      <w:r>
        <w:rPr>
          <w:rFonts w:hint="eastAsia" w:ascii="黑体" w:hAnsi="黑体" w:eastAsia="黑体" w:cs="仿宋_GB2312"/>
          <w:b w:val="0"/>
          <w:color w:val="000000" w:themeColor="text1"/>
          <w:kern w:val="2"/>
          <w:sz w:val="32"/>
          <w:szCs w:val="32"/>
          <w:u w:val="none"/>
          <w:lang w:val="en-US" w:eastAsia="zh-CN" w:bidi="ar-SA"/>
          <w14:textFill>
            <w14:solidFill>
              <w14:schemeClr w14:val="tx1"/>
            </w14:solidFill>
          </w14:textFill>
        </w:rPr>
        <w:t>一、</w:t>
      </w:r>
      <w:r>
        <w:rPr>
          <w:rFonts w:hint="default" w:ascii="黑体" w:hAnsi="黑体" w:eastAsia="黑体" w:cs="仿宋_GB2312"/>
          <w:color w:val="auto"/>
          <w:kern w:val="2"/>
          <w:sz w:val="32"/>
          <w:szCs w:val="32"/>
          <w:u w:val="none"/>
          <w:lang w:val="en-US" w:eastAsia="zh-CN"/>
        </w:rPr>
        <w:t>吡唑醚菌酯</w:t>
      </w:r>
    </w:p>
    <w:p>
      <w:pPr>
        <w:keepNext w:val="0"/>
        <w:keepLines w:val="0"/>
        <w:pageBreakBefore w:val="0"/>
        <w:kinsoku/>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pP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吡唑醚菌酯</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(农药残留)</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是一种具有保护、治疗和传导作用的</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广谱</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杀菌剂。《食品安全国家标准 食品中农药最大残留限量》（GB 2763-2021）中规定，</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荔枝</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中吡唑醚菌酯残留量不得超过0.</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1</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mg/kg。吡唑醚菌酯残留量超标的原因可能是种植过程为控制虫害，加大了用药量或未遵守采摘间隔期规定。</w:t>
      </w:r>
    </w:p>
    <w:p>
      <w:pPr>
        <w:keepNext w:val="0"/>
        <w:keepLines w:val="0"/>
        <w:pageBreakBefore w:val="0"/>
        <w:widowControl/>
        <w:kinsoku/>
        <w:wordWrap w:val="0"/>
        <w:overflowPunct/>
        <w:topLinePunct w:val="0"/>
        <w:autoSpaceDE/>
        <w:autoSpaceDN/>
        <w:bidi w:val="0"/>
        <w:adjustRightInd/>
        <w:snapToGrid/>
        <w:spacing w:beforeAutospacing="0" w:afterAutospacing="0" w:line="600" w:lineRule="exact"/>
        <w:ind w:left="0" w:right="0" w:firstLine="640" w:firstLineChars="200"/>
        <w:jc w:val="left"/>
        <w:textAlignment w:val="auto"/>
        <w:rPr>
          <w:rFonts w:hint="eastAsia" w:ascii="黑体" w:hAnsi="黑体" w:eastAsia="黑体" w:cs="仿宋_GB2312"/>
          <w:color w:val="000000" w:themeColor="text1"/>
          <w:kern w:val="2"/>
          <w:sz w:val="32"/>
          <w:szCs w:val="32"/>
          <w:u w:val="none"/>
          <w:lang w:val="en-US" w:eastAsia="zh-CN" w:bidi="ar-SA"/>
          <w14:textFill>
            <w14:solidFill>
              <w14:schemeClr w14:val="tx1"/>
            </w14:solidFill>
          </w14:textFill>
        </w:rPr>
      </w:pPr>
      <w:r>
        <w:rPr>
          <w:rFonts w:hint="eastAsia" w:ascii="黑体" w:hAnsi="黑体" w:eastAsia="黑体" w:cs="仿宋_GB2312"/>
          <w:color w:val="000000" w:themeColor="text1"/>
          <w:kern w:val="2"/>
          <w:sz w:val="32"/>
          <w:szCs w:val="32"/>
          <w:u w:val="none"/>
          <w:lang w:val="en-US" w:eastAsia="zh-CN" w:bidi="ar-SA"/>
          <w14:textFill>
            <w14:solidFill>
              <w14:schemeClr w14:val="tx1"/>
            </w14:solidFill>
          </w14:textFill>
        </w:rPr>
        <w:t>二、菌落总数</w:t>
      </w:r>
    </w:p>
    <w:p>
      <w:pPr>
        <w:keepNext w:val="0"/>
        <w:keepLines w:val="0"/>
        <w:pageBreakBefore w:val="0"/>
        <w:widowControl/>
        <w:kinsoku/>
        <w:overflowPunct/>
        <w:topLinePunct w:val="0"/>
        <w:autoSpaceDE/>
        <w:autoSpaceDN/>
        <w:bidi w:val="0"/>
        <w:adjustRightInd w:val="0"/>
        <w:snapToGrid/>
        <w:spacing w:beforeAutospacing="0" w:afterAutospacing="0" w:line="600" w:lineRule="exact"/>
        <w:ind w:left="0" w:right="0" w:firstLine="640" w:firstLineChars="200"/>
        <w:jc w:val="both"/>
        <w:textAlignment w:val="auto"/>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菌落总数是指示性微生物指标，用以反映食品卫生状况。超标原因可能是生产企业所使用的原辅料初始菌落数较高；也可能是生产加工过程中卫生条件控制不严格；还可能与产品包装密封不严、储运条件控制不当等有关。</w:t>
      </w:r>
    </w:p>
    <w:p>
      <w:pPr>
        <w:keepNext w:val="0"/>
        <w:keepLines w:val="0"/>
        <w:pageBreakBefore w:val="0"/>
        <w:widowControl/>
        <w:kinsoku/>
        <w:wordWrap w:val="0"/>
        <w:overflowPunct/>
        <w:topLinePunct w:val="0"/>
        <w:autoSpaceDE/>
        <w:autoSpaceDN/>
        <w:bidi w:val="0"/>
        <w:adjustRightInd/>
        <w:snapToGrid/>
        <w:spacing w:beforeAutospacing="0" w:afterAutospacing="0" w:line="600" w:lineRule="exact"/>
        <w:ind w:left="0" w:right="0" w:firstLine="640" w:firstLineChars="200"/>
        <w:jc w:val="left"/>
        <w:textAlignment w:val="auto"/>
        <w:rPr>
          <w:rFonts w:hint="eastAsia" w:ascii="黑体" w:hAnsi="黑体" w:eastAsia="黑体" w:cs="仿宋_GB2312"/>
          <w:color w:val="auto"/>
          <w:kern w:val="2"/>
          <w:sz w:val="32"/>
          <w:szCs w:val="32"/>
          <w:u w:val="none"/>
          <w:lang w:val="en-US" w:eastAsia="zh-CN" w:bidi="ar-SA"/>
        </w:rPr>
      </w:pPr>
      <w:r>
        <w:rPr>
          <w:rFonts w:hint="eastAsia" w:ascii="黑体" w:hAnsi="黑体" w:eastAsia="黑体" w:cs="仿宋_GB2312"/>
          <w:color w:val="auto"/>
          <w:kern w:val="2"/>
          <w:sz w:val="32"/>
          <w:szCs w:val="32"/>
          <w:u w:val="none"/>
          <w:lang w:val="en-US" w:eastAsia="zh-CN" w:bidi="ar-SA"/>
        </w:rPr>
        <w:t>三、毒死蜱</w:t>
      </w:r>
    </w:p>
    <w:p>
      <w:pPr>
        <w:keepNext w:val="0"/>
        <w:keepLines w:val="0"/>
        <w:pageBreakBefore w:val="0"/>
        <w:kinsoku/>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毒死蜱是一种具有触杀、胃毒和熏蒸作用的有机磷杀虫剂。《食品安全国家标准 食品中农药最大残留限量》（GB2763—2021）中规定，辣椒中毒死蜱的最大残留限量为0.02mg/kg。食用农产品中毒死蜱超标，可能是种植者未严格按照标准规定施药或施药后未严格落实农药安全间隔期造成。</w:t>
      </w:r>
    </w:p>
    <w:p>
      <w:pPr>
        <w:keepNext w:val="0"/>
        <w:keepLines w:val="0"/>
        <w:pageBreakBefore w:val="0"/>
        <w:widowControl/>
        <w:kinsoku/>
        <w:wordWrap w:val="0"/>
        <w:overflowPunct/>
        <w:topLinePunct w:val="0"/>
        <w:autoSpaceDE/>
        <w:autoSpaceDN/>
        <w:bidi w:val="0"/>
        <w:adjustRightInd/>
        <w:snapToGrid/>
        <w:spacing w:beforeAutospacing="0" w:afterAutospacing="0" w:line="600" w:lineRule="exact"/>
        <w:ind w:left="0" w:right="0" w:firstLine="640" w:firstLineChars="200"/>
        <w:jc w:val="left"/>
        <w:textAlignment w:val="auto"/>
        <w:rPr>
          <w:rFonts w:hint="eastAsia" w:ascii="黑体" w:hAnsi="黑体" w:eastAsia="黑体" w:cs="仿宋_GB2312"/>
          <w:color w:val="000000" w:themeColor="text1"/>
          <w:kern w:val="2"/>
          <w:sz w:val="32"/>
          <w:szCs w:val="32"/>
          <w:u w:val="none"/>
          <w:lang w:val="en-US" w:eastAsia="zh-CN" w:bidi="ar-SA"/>
          <w14:textFill>
            <w14:solidFill>
              <w14:schemeClr w14:val="tx1"/>
            </w14:solidFill>
          </w14:textFill>
        </w:rPr>
      </w:pPr>
      <w:r>
        <w:rPr>
          <w:rFonts w:hint="eastAsia" w:ascii="黑体" w:hAnsi="黑体" w:eastAsia="黑体" w:cs="仿宋_GB2312"/>
          <w:color w:val="000000" w:themeColor="text1"/>
          <w:kern w:val="2"/>
          <w:sz w:val="32"/>
          <w:szCs w:val="32"/>
          <w:u w:val="none"/>
          <w:lang w:val="en-US" w:eastAsia="zh-CN" w:bidi="ar-SA"/>
          <w14:textFill>
            <w14:solidFill>
              <w14:schemeClr w14:val="tx1"/>
            </w14:solidFill>
          </w14:textFill>
        </w:rPr>
        <w:t>四、铅（以Pb计）</w:t>
      </w:r>
    </w:p>
    <w:p>
      <w:pPr>
        <w:keepNext w:val="0"/>
        <w:keepLines w:val="0"/>
        <w:pageBreakBefore w:val="0"/>
        <w:widowControl/>
        <w:kinsoku/>
        <w:overflowPunct/>
        <w:topLinePunct w:val="0"/>
        <w:autoSpaceDE/>
        <w:autoSpaceDN/>
        <w:bidi w:val="0"/>
        <w:adjustRightInd w:val="0"/>
        <w:snapToGrid/>
        <w:spacing w:beforeAutospacing="0" w:afterAutospacing="0" w:line="600" w:lineRule="exact"/>
        <w:ind w:left="0" w:right="0" w:firstLine="640" w:firstLineChars="200"/>
        <w:jc w:val="both"/>
        <w:textAlignment w:val="auto"/>
        <w:rPr>
          <w:rFonts w:hint="eastAsia" w:ascii="Times New Roman" w:hAnsi="Times New Roman" w:eastAsia="仿宋_GB2312" w:cs="Times New Roman"/>
          <w:color w:val="000000" w:themeColor="text1"/>
          <w:kern w:val="0"/>
          <w:sz w:val="32"/>
          <w:szCs w:val="32"/>
          <w:u w:val="none"/>
          <w:lang w:val="en-US" w:eastAsia="zh-CN" w:bidi="ar-SA"/>
          <w14:textFill>
            <w14:solidFill>
              <w14:schemeClr w14:val="tx1"/>
            </w14:solidFill>
          </w14:textFill>
        </w:rPr>
      </w:pPr>
      <w:r>
        <w:rPr>
          <w:rFonts w:hint="eastAsia" w:ascii="Times New Roman" w:hAnsi="Times New Roman" w:eastAsia="仿宋_GB2312" w:cs="Times New Roman"/>
          <w:color w:val="000000" w:themeColor="text1"/>
          <w:kern w:val="0"/>
          <w:sz w:val="32"/>
          <w:szCs w:val="32"/>
          <w:u w:val="none"/>
          <w:lang w:val="en-US" w:eastAsia="zh-CN" w:bidi="ar-SA"/>
          <w14:textFill>
            <w14:solidFill>
              <w14:schemeClr w14:val="tx1"/>
            </w14:solidFill>
          </w14:textFill>
        </w:rPr>
        <w:t>铅是一种能够在生物体内蓄积且排除缓慢的重金属污染物。铅超标的原因，可能是企业在生产时未对原料进行严格验收或为降低产品成本而采用劣质原料，导致生产原料或辅料中的铅带入；也可能是在食品生产加工过程中，加工设备、容器、包装材料中的铅迁移带入食品。</w:t>
      </w:r>
    </w:p>
    <w:p>
      <w:pPr>
        <w:keepNext w:val="0"/>
        <w:keepLines w:val="0"/>
        <w:pageBreakBefore w:val="0"/>
        <w:kinsoku/>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仿宋_GB2312"/>
          <w:color w:val="auto"/>
          <w:kern w:val="2"/>
          <w:sz w:val="32"/>
          <w:szCs w:val="32"/>
          <w:u w:val="none"/>
          <w:lang w:val="en-US" w:eastAsia="zh-CN"/>
        </w:rPr>
      </w:pPr>
      <w:r>
        <w:rPr>
          <w:rFonts w:hint="eastAsia" w:ascii="黑体" w:hAnsi="黑体" w:eastAsia="黑体" w:cs="仿宋_GB2312"/>
          <w:color w:val="auto"/>
          <w:kern w:val="2"/>
          <w:sz w:val="32"/>
          <w:szCs w:val="32"/>
          <w:u w:val="none"/>
          <w:lang w:val="en-US" w:eastAsia="zh-CN"/>
        </w:rPr>
        <w:t>五、过氧化值</w:t>
      </w:r>
    </w:p>
    <w:p>
      <w:pPr>
        <w:keepNext w:val="0"/>
        <w:keepLines w:val="0"/>
        <w:pageBreakBefore w:val="0"/>
        <w:widowControl/>
        <w:suppressLineNumbers w:val="0"/>
        <w:kinsoku/>
        <w:overflowPunct/>
        <w:topLinePunct w:val="0"/>
        <w:autoSpaceDE/>
        <w:bidi w:val="0"/>
        <w:adjustRightInd/>
        <w:snapToGrid/>
        <w:spacing w:line="600" w:lineRule="exact"/>
        <w:ind w:firstLine="640" w:firstLineChars="200"/>
        <w:jc w:val="both"/>
        <w:textAlignment w:val="auto"/>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过氧化值主要反映食品中油脂是否氧化变质。随着油脂氧化，过氧化值会逐步升高。过氧化值超标的原因，可能是产品用油已经变质，或者产品在储存过程中环境条件控制不当，导致油脂酸败；也可能是原料储存不当，未采取有效的抗氧化措施，使得</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原料中的脂肪已经氧化，</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导致</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终产品油脂氧化酸败</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w:t>
      </w:r>
    </w:p>
    <w:p>
      <w:pPr>
        <w:keepNext w:val="0"/>
        <w:keepLines w:val="0"/>
        <w:pageBreakBefore w:val="0"/>
        <w:widowControl/>
        <w:kinsoku/>
        <w:wordWrap w:val="0"/>
        <w:overflowPunct/>
        <w:topLinePunct w:val="0"/>
        <w:autoSpaceDE/>
        <w:autoSpaceDN/>
        <w:bidi w:val="0"/>
        <w:adjustRightInd/>
        <w:snapToGrid/>
        <w:spacing w:beforeAutospacing="0" w:afterAutospacing="0" w:line="600" w:lineRule="exact"/>
        <w:ind w:left="0" w:right="0" w:firstLine="640"/>
        <w:jc w:val="both"/>
        <w:textAlignment w:val="auto"/>
        <w:rPr>
          <w:rFonts w:hint="eastAsia" w:ascii="仿宋" w:hAnsi="仿宋" w:eastAsia="仿宋" w:cs="仿宋_GB2312"/>
          <w:color w:val="000000" w:themeColor="text1"/>
          <w:kern w:val="2"/>
          <w:sz w:val="32"/>
          <w:szCs w:val="32"/>
          <w:u w:val="none"/>
          <w:lang w:val="en-US" w:eastAsia="zh-CN" w:bidi="ar-SA"/>
          <w14:textFill>
            <w14:solidFill>
              <w14:schemeClr w14:val="tx1"/>
            </w14:solidFill>
          </w14:textFill>
        </w:rPr>
      </w:pPr>
      <w:r>
        <w:rPr>
          <w:rFonts w:hint="eastAsia" w:ascii="黑体" w:hAnsi="黑体" w:eastAsia="黑体" w:cs="仿宋_GB2312"/>
          <w:color w:val="000000" w:themeColor="text1"/>
          <w:kern w:val="2"/>
          <w:sz w:val="32"/>
          <w:szCs w:val="32"/>
          <w:u w:val="none"/>
          <w:lang w:val="en-US" w:eastAsia="zh-CN"/>
          <w14:textFill>
            <w14:solidFill>
              <w14:schemeClr w14:val="tx1"/>
            </w14:solidFill>
          </w14:textFill>
        </w:rPr>
        <w:t>六、噻虫胺</w:t>
      </w:r>
    </w:p>
    <w:p>
      <w:pPr>
        <w:keepNext w:val="0"/>
        <w:keepLines w:val="0"/>
        <w:pageBreakBefore w:val="0"/>
        <w:kinsoku/>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color w:val="000000"/>
          <w:kern w:val="2"/>
          <w:sz w:val="32"/>
          <w:szCs w:val="32"/>
          <w:u w:val="none"/>
          <w:lang w:val="en-US" w:eastAsia="zh-CN" w:bidi="ar-SA"/>
        </w:rPr>
      </w:pPr>
      <w:r>
        <w:rPr>
          <w:rFonts w:hint="default" w:ascii="仿宋_GB2312" w:hAnsi="仿宋_GB2312" w:eastAsia="仿宋_GB2312" w:cs="仿宋_GB2312"/>
          <w:color w:val="000000"/>
          <w:kern w:val="2"/>
          <w:sz w:val="32"/>
          <w:szCs w:val="32"/>
          <w:u w:val="none"/>
          <w:lang w:val="en-US" w:eastAsia="zh-CN" w:bidi="ar-SA"/>
        </w:rPr>
        <w:t>噻虫胺</w:t>
      </w:r>
      <w:r>
        <w:rPr>
          <w:rFonts w:hint="eastAsia" w:ascii="仿宋_GB2312" w:hAnsi="仿宋_GB2312" w:eastAsia="仿宋_GB2312" w:cs="仿宋_GB2312"/>
          <w:color w:val="000000"/>
          <w:kern w:val="2"/>
          <w:sz w:val="32"/>
          <w:szCs w:val="32"/>
          <w:u w:val="none"/>
          <w:lang w:val="en-US" w:eastAsia="zh-CN" w:bidi="ar-SA"/>
        </w:rPr>
        <w:t>属</w:t>
      </w:r>
      <w:r>
        <w:rPr>
          <w:rFonts w:hint="default" w:ascii="仿宋_GB2312" w:hAnsi="仿宋_GB2312" w:eastAsia="仿宋_GB2312" w:cs="仿宋_GB2312"/>
          <w:color w:val="000000"/>
          <w:kern w:val="2"/>
          <w:sz w:val="32"/>
          <w:szCs w:val="32"/>
          <w:u w:val="none"/>
          <w:lang w:val="en-US" w:eastAsia="zh-CN" w:bidi="ar-SA"/>
        </w:rPr>
        <w:t>烟碱类杀虫剂，具有触杀、胃毒作用，具有根内吸活性和层间传导性。</w:t>
      </w:r>
      <w:r>
        <w:rPr>
          <w:rFonts w:hint="eastAsia" w:ascii="仿宋_GB2312" w:hAnsi="仿宋_GB2312" w:eastAsia="仿宋_GB2312" w:cs="仿宋_GB2312"/>
          <w:color w:val="000000"/>
          <w:kern w:val="2"/>
          <w:sz w:val="32"/>
          <w:szCs w:val="32"/>
          <w:u w:val="none"/>
          <w:lang w:val="en-US" w:eastAsia="zh-CN" w:bidi="ar-SA"/>
        </w:rPr>
        <w:t>根据《</w:t>
      </w:r>
      <w:r>
        <w:rPr>
          <w:rFonts w:hint="default" w:ascii="仿宋_GB2312" w:hAnsi="仿宋_GB2312" w:eastAsia="仿宋_GB2312" w:cs="仿宋_GB2312"/>
          <w:color w:val="000000"/>
          <w:kern w:val="2"/>
          <w:sz w:val="32"/>
          <w:szCs w:val="32"/>
          <w:u w:val="none"/>
          <w:lang w:val="en-US" w:eastAsia="zh-CN" w:bidi="ar-SA"/>
        </w:rPr>
        <w:t>食品安全国家标准 食品中农药最大残留限量</w:t>
      </w:r>
      <w:r>
        <w:rPr>
          <w:rFonts w:hint="eastAsia" w:ascii="仿宋_GB2312" w:hAnsi="仿宋_GB2312" w:eastAsia="仿宋_GB2312" w:cs="仿宋_GB2312"/>
          <w:color w:val="000000"/>
          <w:kern w:val="2"/>
          <w:sz w:val="32"/>
          <w:szCs w:val="32"/>
          <w:u w:val="none"/>
          <w:lang w:val="en-US" w:eastAsia="zh-CN" w:bidi="ar-SA"/>
        </w:rPr>
        <w:t xml:space="preserve">》（GB </w:t>
      </w:r>
      <w:r>
        <w:rPr>
          <w:rFonts w:hint="default" w:ascii="仿宋_GB2312" w:hAnsi="仿宋_GB2312" w:eastAsia="仿宋_GB2312" w:cs="仿宋_GB2312"/>
          <w:color w:val="000000"/>
          <w:kern w:val="2"/>
          <w:sz w:val="32"/>
          <w:szCs w:val="32"/>
          <w:u w:val="none"/>
          <w:lang w:val="en-US" w:eastAsia="zh-CN" w:bidi="ar-SA"/>
        </w:rPr>
        <w:t>2763-2021</w:t>
      </w:r>
      <w:r>
        <w:rPr>
          <w:rFonts w:hint="eastAsia" w:ascii="仿宋_GB2312" w:hAnsi="仿宋_GB2312" w:eastAsia="仿宋_GB2312" w:cs="仿宋_GB2312"/>
          <w:color w:val="000000"/>
          <w:kern w:val="2"/>
          <w:sz w:val="32"/>
          <w:szCs w:val="32"/>
          <w:u w:val="none"/>
          <w:lang w:val="en-US" w:eastAsia="zh-CN" w:bidi="ar-SA"/>
        </w:rPr>
        <w:t>）中的规定，香蕉中噻虫胺限量标准为0.02mg/kg，</w:t>
      </w:r>
      <w:r>
        <w:rPr>
          <w:rFonts w:hint="default" w:ascii="仿宋_GB2312" w:hAnsi="仿宋_GB2312" w:eastAsia="仿宋_GB2312" w:cs="仿宋_GB2312"/>
          <w:color w:val="000000"/>
          <w:kern w:val="2"/>
          <w:sz w:val="32"/>
          <w:szCs w:val="32"/>
          <w:u w:val="none"/>
          <w:lang w:val="en-US" w:eastAsia="zh-CN" w:bidi="ar-SA"/>
        </w:rPr>
        <w:t>噻虫胺残留量超标的原因可能是为快速控制虫害，未遵守采摘间隔期</w:t>
      </w:r>
      <w:r>
        <w:rPr>
          <w:rFonts w:hint="eastAsia" w:ascii="仿宋_GB2312" w:hAnsi="仿宋_GB2312" w:eastAsia="仿宋_GB2312" w:cs="仿宋_GB2312"/>
          <w:color w:val="000000"/>
          <w:kern w:val="2"/>
          <w:sz w:val="32"/>
          <w:szCs w:val="32"/>
          <w:u w:val="none"/>
          <w:lang w:val="en-US" w:eastAsia="zh-CN" w:bidi="ar-SA"/>
        </w:rPr>
        <w:t>休药后再采摘的</w:t>
      </w:r>
      <w:r>
        <w:rPr>
          <w:rFonts w:hint="default" w:ascii="仿宋_GB2312" w:hAnsi="仿宋_GB2312" w:eastAsia="仿宋_GB2312" w:cs="仿宋_GB2312"/>
          <w:color w:val="000000"/>
          <w:kern w:val="2"/>
          <w:sz w:val="32"/>
          <w:szCs w:val="32"/>
          <w:u w:val="none"/>
          <w:lang w:val="en-US" w:eastAsia="zh-CN" w:bidi="ar-SA"/>
        </w:rPr>
        <w:t>规定，致使上市销售的产品中残留量超标。</w:t>
      </w:r>
    </w:p>
    <w:p>
      <w:pPr>
        <w:keepNext w:val="0"/>
        <w:keepLines w:val="0"/>
        <w:pageBreakBefore w:val="0"/>
        <w:kinsoku/>
        <w:wordWrap w:val="0"/>
        <w:overflowPunct/>
        <w:topLinePunct w:val="0"/>
        <w:autoSpaceDE/>
        <w:autoSpaceDN w:val="0"/>
        <w:bidi w:val="0"/>
        <w:adjustRightInd/>
        <w:snapToGrid/>
        <w:spacing w:line="600" w:lineRule="exact"/>
        <w:ind w:firstLine="640" w:firstLineChars="200"/>
        <w:jc w:val="left"/>
        <w:textAlignment w:val="auto"/>
        <w:rPr>
          <w:rFonts w:hint="eastAsia" w:ascii="黑体" w:hAnsi="黑体" w:eastAsia="黑体" w:cs="仿宋_GB2312"/>
          <w:color w:val="000000" w:themeColor="text1"/>
          <w:kern w:val="2"/>
          <w:sz w:val="32"/>
          <w:szCs w:val="32"/>
          <w:u w:val="none"/>
          <w:lang w:val="en-US" w:eastAsia="zh-CN"/>
          <w14:textFill>
            <w14:solidFill>
              <w14:schemeClr w14:val="tx1"/>
            </w14:solidFill>
          </w14:textFill>
        </w:rPr>
      </w:pPr>
      <w:r>
        <w:rPr>
          <w:rFonts w:hint="eastAsia" w:ascii="黑体" w:hAnsi="黑体" w:eastAsia="黑体" w:cs="仿宋_GB2312"/>
          <w:color w:val="000000" w:themeColor="text1"/>
          <w:kern w:val="2"/>
          <w:sz w:val="32"/>
          <w:szCs w:val="32"/>
          <w:u w:val="none"/>
          <w:lang w:val="en-US" w:eastAsia="zh-CN"/>
          <w14:textFill>
            <w14:solidFill>
              <w14:schemeClr w14:val="tx1"/>
            </w14:solidFill>
          </w14:textFill>
        </w:rPr>
        <w:t>七、山梨酸及其钾盐(以山梨酸计)</w:t>
      </w:r>
    </w:p>
    <w:p>
      <w:pPr>
        <w:keepNext w:val="0"/>
        <w:keepLines w:val="0"/>
        <w:pageBreakBefore w:val="0"/>
        <w:widowControl/>
        <w:suppressLineNumbers w:val="0"/>
        <w:kinsoku/>
        <w:overflowPunct/>
        <w:topLinePunct w:val="0"/>
        <w:autoSpaceDE/>
        <w:bidi w:val="0"/>
        <w:adjustRightInd/>
        <w:snapToGrid/>
        <w:spacing w:line="600" w:lineRule="exact"/>
        <w:ind w:firstLine="640" w:firstLineChars="200"/>
        <w:jc w:val="left"/>
        <w:textAlignment w:val="auto"/>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山梨酸及山梨酸钾是食品防腐剂，具有广泛的抑菌效果和防霉性能。</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《食品安全国家标准 食品添加剂使用标准》（GB 2760）中规定</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，山梨酸及其钾盐(以山梨酸计)</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在</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豆制品</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中</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的限量标准为1.0g/kg。检出山梨酸及其钾盐(以山梨酸计)的原因，可能是生产企业为延长产品保质期，或者弥补产品生产过程中卫生条件不佳而超范围使用。</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bidi w:val="0"/>
        <w:adjustRightInd/>
        <w:snapToGrid/>
        <w:spacing w:beforeAutospacing="0" w:afterAutospacing="0" w:line="600" w:lineRule="exact"/>
        <w:ind w:right="0" w:rightChars="0" w:firstLine="640" w:firstLineChars="200"/>
        <w:jc w:val="left"/>
        <w:textAlignment w:val="auto"/>
        <w:rPr>
          <w:rFonts w:hint="eastAsia" w:ascii="黑体" w:hAnsi="黑体" w:eastAsia="黑体" w:cs="仿宋_GB2312"/>
          <w:color w:val="000000" w:themeColor="text1"/>
          <w:kern w:val="2"/>
          <w:sz w:val="32"/>
          <w:szCs w:val="32"/>
          <w:highlight w:val="none"/>
          <w:u w:val="none"/>
          <w:lang w:val="en-US" w:eastAsia="zh-CN" w:bidi="ar-SA"/>
          <w14:textFill>
            <w14:solidFill>
              <w14:schemeClr w14:val="tx1"/>
            </w14:solidFill>
          </w14:textFill>
        </w:rPr>
      </w:pPr>
      <w:r>
        <w:rPr>
          <w:rFonts w:hint="eastAsia" w:ascii="黑体" w:hAnsi="黑体" w:eastAsia="黑体" w:cs="仿宋_GB2312"/>
          <w:color w:val="000000" w:themeColor="text1"/>
          <w:kern w:val="2"/>
          <w:sz w:val="32"/>
          <w:szCs w:val="32"/>
          <w:highlight w:val="none"/>
          <w:u w:val="none"/>
          <w:lang w:val="en-US" w:eastAsia="zh-CN" w:bidi="ar-SA"/>
          <w14:textFill>
            <w14:solidFill>
              <w14:schemeClr w14:val="tx1"/>
            </w14:solidFill>
          </w14:textFill>
        </w:rPr>
        <w:t>八、苯甲酸及其钠盐</w:t>
      </w:r>
    </w:p>
    <w:p>
      <w:pPr>
        <w:keepNext w:val="0"/>
        <w:keepLines w:val="0"/>
        <w:pageBreakBefore w:val="0"/>
        <w:widowControl/>
        <w:suppressLineNumbers w:val="0"/>
        <w:kinsoku/>
        <w:overflowPunct/>
        <w:topLinePunct w:val="0"/>
        <w:autoSpaceDE/>
        <w:bidi w:val="0"/>
        <w:adjustRightInd/>
        <w:snapToGrid/>
        <w:spacing w:line="600" w:lineRule="exact"/>
        <w:ind w:firstLine="640" w:firstLineChars="200"/>
        <w:jc w:val="left"/>
        <w:textAlignment w:val="auto"/>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苯甲酸及其钠盐是食品中常用的防腐剂，在酸性条件下，对霉菌、酵母和细菌均有抑制作用，能延长产品保质期。</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《食品安全国家标准 食品添加剂使用标准》（GB 2760）中规定</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，调味料中苯甲酸及其钠盐(以苯甲酸计)的限量为1.0g/kg。检出苯甲酸及其钠盐的原因可能是生产企业为延长产品保质期，或者弥补产品生产过程中卫生条件不佳而超范围使用。</w:t>
      </w:r>
    </w:p>
    <w:p>
      <w:pPr>
        <w:keepNext w:val="0"/>
        <w:keepLines w:val="0"/>
        <w:pageBreakBefore w:val="0"/>
        <w:numPr>
          <w:ilvl w:val="0"/>
          <w:numId w:val="0"/>
        </w:numPr>
        <w:kinsoku/>
        <w:overflowPunct/>
        <w:topLinePunct w:val="0"/>
        <w:autoSpaceDE/>
        <w:bidi w:val="0"/>
        <w:adjustRightInd/>
        <w:snapToGrid/>
        <w:spacing w:line="600" w:lineRule="exact"/>
        <w:ind w:left="630" w:leftChars="0"/>
        <w:jc w:val="both"/>
        <w:textAlignment w:val="auto"/>
        <w:rPr>
          <w:rFonts w:hint="default" w:ascii="黑体" w:hAnsi="黑体" w:eastAsia="黑体" w:cs="仿宋_GB2312"/>
          <w:color w:val="000000" w:themeColor="text1"/>
          <w:kern w:val="2"/>
          <w:sz w:val="32"/>
          <w:szCs w:val="32"/>
          <w:highlight w:val="none"/>
          <w:u w:val="none"/>
          <w:lang w:val="en-US" w:eastAsia="zh-CN"/>
          <w14:textFill>
            <w14:solidFill>
              <w14:schemeClr w14:val="tx1"/>
            </w14:solidFill>
          </w14:textFill>
        </w:rPr>
      </w:pPr>
      <w:r>
        <w:rPr>
          <w:rFonts w:hint="eastAsia" w:ascii="黑体" w:hAnsi="黑体" w:eastAsia="黑体" w:cs="仿宋_GB2312"/>
          <w:color w:val="000000" w:themeColor="text1"/>
          <w:kern w:val="2"/>
          <w:sz w:val="32"/>
          <w:szCs w:val="32"/>
          <w:highlight w:val="none"/>
          <w:u w:val="none"/>
          <w:lang w:val="en-US" w:eastAsia="zh-CN"/>
          <w14:textFill>
            <w14:solidFill>
              <w14:schemeClr w14:val="tx1"/>
            </w14:solidFill>
          </w14:textFill>
        </w:rPr>
        <w:t>九、柠</w:t>
      </w:r>
      <w:r>
        <w:rPr>
          <w:rFonts w:hint="default" w:ascii="黑体" w:hAnsi="黑体" w:eastAsia="黑体" w:cs="仿宋_GB2312"/>
          <w:color w:val="000000" w:themeColor="text1"/>
          <w:kern w:val="2"/>
          <w:sz w:val="32"/>
          <w:szCs w:val="32"/>
          <w:highlight w:val="none"/>
          <w:u w:val="none"/>
          <w:lang w:val="en-US" w:eastAsia="zh-CN"/>
          <w14:textFill>
            <w14:solidFill>
              <w14:schemeClr w14:val="tx1"/>
            </w14:solidFill>
          </w14:textFill>
        </w:rPr>
        <w:t>檬黄</w:t>
      </w:r>
    </w:p>
    <w:p>
      <w:pPr>
        <w:keepNext w:val="0"/>
        <w:keepLines w:val="0"/>
        <w:pageBreakBefore w:val="0"/>
        <w:widowControl/>
        <w:suppressLineNumbers w:val="0"/>
        <w:kinsoku/>
        <w:overflowPunct/>
        <w:topLinePunct w:val="0"/>
        <w:autoSpaceDE/>
        <w:bidi w:val="0"/>
        <w:adjustRightInd/>
        <w:snapToGrid/>
        <w:spacing w:line="600" w:lineRule="exact"/>
        <w:ind w:firstLine="640" w:firstLineChars="200"/>
        <w:jc w:val="left"/>
        <w:textAlignment w:val="auto"/>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pP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柠檬黄又称酒石黄、酸性淡黄、肼黄，是常见的人工合成着色剂，主要是使食品着色，是赋予和改善食品色泽的物质，没有营养价值。《食品安全国家标准 食品添加剂使用标准》（GB 2760）中规定柠檬黄在</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酱腌菜</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中</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的限量标准为</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0.1g/kg。柠檬黄不合格可能是企业在生产加工过程中超范围使用食品添加剂。</w:t>
      </w:r>
    </w:p>
    <w:p>
      <w:pPr>
        <w:pStyle w:val="7"/>
        <w:keepNext w:val="0"/>
        <w:keepLines w:val="0"/>
        <w:pageBreakBefore w:val="0"/>
        <w:numPr>
          <w:ilvl w:val="0"/>
          <w:numId w:val="0"/>
        </w:numPr>
        <w:kinsoku/>
        <w:overflowPunct/>
        <w:topLinePunct w:val="0"/>
        <w:autoSpaceDE/>
        <w:bidi w:val="0"/>
        <w:snapToGrid/>
        <w:spacing w:after="0" w:line="600" w:lineRule="exact"/>
        <w:ind w:firstLine="640" w:firstLineChars="200"/>
        <w:textAlignment w:val="auto"/>
        <w:rPr>
          <w:rFonts w:hint="default" w:ascii="黑体" w:hAnsi="黑体" w:eastAsia="黑体" w:cs="仿宋_GB2312"/>
          <w:color w:val="000000" w:themeColor="text1"/>
          <w:kern w:val="2"/>
          <w:sz w:val="32"/>
          <w:szCs w:val="32"/>
          <w:u w:val="none"/>
          <w:lang w:val="en-US" w:eastAsia="zh-CN" w:bidi="ar-SA"/>
          <w14:textFill>
            <w14:solidFill>
              <w14:schemeClr w14:val="tx1"/>
            </w14:solidFill>
          </w14:textFill>
        </w:rPr>
      </w:pPr>
      <w:r>
        <w:rPr>
          <w:rFonts w:hint="eastAsia" w:ascii="黑体" w:hAnsi="黑体" w:eastAsia="黑体" w:cs="仿宋_GB2312"/>
          <w:color w:val="000000" w:themeColor="text1"/>
          <w:kern w:val="2"/>
          <w:sz w:val="32"/>
          <w:szCs w:val="32"/>
          <w:u w:val="none"/>
          <w:lang w:val="en-US" w:eastAsia="zh-CN" w:bidi="ar-SA"/>
          <w14:textFill>
            <w14:solidFill>
              <w14:schemeClr w14:val="tx1"/>
            </w14:solidFill>
          </w14:textFill>
        </w:rPr>
        <w:t>十、</w:t>
      </w:r>
      <w:r>
        <w:rPr>
          <w:rFonts w:hint="default" w:ascii="黑体" w:hAnsi="黑体" w:eastAsia="黑体" w:cs="仿宋_GB2312"/>
          <w:color w:val="000000" w:themeColor="text1"/>
          <w:kern w:val="2"/>
          <w:sz w:val="32"/>
          <w:szCs w:val="32"/>
          <w:u w:val="none"/>
          <w:lang w:val="en-US" w:eastAsia="zh-CN" w:bidi="ar-SA"/>
          <w14:textFill>
            <w14:solidFill>
              <w14:schemeClr w14:val="tx1"/>
            </w14:solidFill>
          </w14:textFill>
        </w:rPr>
        <w:t>噻虫嗪</w:t>
      </w:r>
    </w:p>
    <w:p>
      <w:pPr>
        <w:keepNext w:val="0"/>
        <w:keepLines w:val="0"/>
        <w:pageBreakBefore w:val="0"/>
        <w:widowControl/>
        <w:suppressLineNumbers w:val="0"/>
        <w:kinsoku/>
        <w:overflowPunct/>
        <w:topLinePunct w:val="0"/>
        <w:autoSpaceDE/>
        <w:bidi w:val="0"/>
        <w:adjustRightInd/>
        <w:snapToGrid/>
        <w:spacing w:line="600" w:lineRule="exact"/>
        <w:ind w:firstLine="640" w:firstLineChars="200"/>
        <w:jc w:val="left"/>
        <w:textAlignment w:val="auto"/>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噻虫嗪是烟碱类杀虫剂，具有胃毒、触杀和内吸作用，对蚜虫、蛴螬等有较好防效。</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w:t>
      </w:r>
      <w:r>
        <w:rPr>
          <w:rFonts w:hint="default" w:ascii="仿宋_GB2312" w:hAnsi="仿宋_GB2312" w:eastAsia="仿宋_GB2312" w:cs="仿宋_GB2312"/>
          <w:color w:val="000000" w:themeColor="text1"/>
          <w:kern w:val="2"/>
          <w:sz w:val="32"/>
          <w:szCs w:val="32"/>
          <w:u w:val="none"/>
          <w:lang w:val="zh-CN" w:eastAsia="zh-CN" w:bidi="ar-SA"/>
          <w14:textFill>
            <w14:solidFill>
              <w14:schemeClr w14:val="tx1"/>
            </w14:solidFill>
          </w14:textFill>
        </w:rPr>
        <w:t>食品安全国家标准 食品中农药最大残留限量</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w:t>
      </w:r>
      <w:r>
        <w:rPr>
          <w:rFonts w:hint="default" w:ascii="仿宋_GB2312" w:hAnsi="仿宋_GB2312" w:eastAsia="仿宋_GB2312" w:cs="仿宋_GB2312"/>
          <w:color w:val="000000" w:themeColor="text1"/>
          <w:kern w:val="2"/>
          <w:sz w:val="32"/>
          <w:szCs w:val="32"/>
          <w:u w:val="none"/>
          <w:lang w:val="zh-CN" w:eastAsia="zh-CN" w:bidi="ar-SA"/>
          <w14:textFill>
            <w14:solidFill>
              <w14:schemeClr w14:val="tx1"/>
            </w14:solidFill>
          </w14:textFill>
        </w:rPr>
        <w:t>GB 2763-2021</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）中规定，</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番木瓜</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中</w:t>
      </w:r>
      <w:r>
        <w:rPr>
          <w:rFonts w:hint="eastAsia" w:ascii="仿宋_GB2312" w:hAnsi="仿宋_GB2312" w:eastAsia="仿宋_GB2312" w:cs="仿宋_GB2312"/>
          <w:color w:val="000000" w:themeColor="text1"/>
          <w:kern w:val="2"/>
          <w:sz w:val="32"/>
          <w:szCs w:val="32"/>
          <w:u w:val="none"/>
          <w:lang w:val="zh-CN" w:eastAsia="zh-CN" w:bidi="ar-SA"/>
          <w14:textFill>
            <w14:solidFill>
              <w14:schemeClr w14:val="tx1"/>
            </w14:solidFill>
          </w14:textFill>
        </w:rPr>
        <w:t>噻虫嗪</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的</w:t>
      </w:r>
      <w:r>
        <w:rPr>
          <w:rFonts w:hint="default" w:ascii="仿宋_GB2312" w:hAnsi="仿宋_GB2312" w:eastAsia="仿宋_GB2312" w:cs="仿宋_GB2312"/>
          <w:color w:val="000000" w:themeColor="text1"/>
          <w:kern w:val="2"/>
          <w:sz w:val="32"/>
          <w:szCs w:val="32"/>
          <w:u w:val="none"/>
          <w:lang w:val="zh-CN" w:eastAsia="zh-CN" w:bidi="ar-SA"/>
          <w14:textFill>
            <w14:solidFill>
              <w14:schemeClr w14:val="tx1"/>
            </w14:solidFill>
          </w14:textFill>
        </w:rPr>
        <w:t>最大残留</w:t>
      </w:r>
      <w:r>
        <w:rPr>
          <w:rFonts w:hint="eastAsia" w:ascii="仿宋_GB2312" w:hAnsi="仿宋_GB2312" w:eastAsia="仿宋_GB2312" w:cs="仿宋_GB2312"/>
          <w:color w:val="000000" w:themeColor="text1"/>
          <w:kern w:val="2"/>
          <w:sz w:val="32"/>
          <w:szCs w:val="32"/>
          <w:u w:val="none"/>
          <w:lang w:val="zh-CN" w:eastAsia="zh-CN" w:bidi="ar-SA"/>
          <w14:textFill>
            <w14:solidFill>
              <w14:schemeClr w14:val="tx1"/>
            </w14:solidFill>
          </w14:textFill>
        </w:rPr>
        <w:t>量</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为</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0.01mg/kg。噻虫嗪残留量超标可能是为快速控制虫害，加大用药量或未遵守采摘间隔期规定，致使上市销售的产品中残留量超标。</w:t>
      </w:r>
    </w:p>
    <w:p>
      <w:pPr>
        <w:keepNext w:val="0"/>
        <w:keepLines w:val="0"/>
        <w:pageBreakBefore w:val="0"/>
        <w:numPr>
          <w:ilvl w:val="0"/>
          <w:numId w:val="0"/>
        </w:numPr>
        <w:kinsoku/>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仿宋_GB2312"/>
          <w:color w:val="000000" w:themeColor="text1"/>
          <w:kern w:val="2"/>
          <w:sz w:val="32"/>
          <w:szCs w:val="32"/>
          <w:u w:val="none"/>
          <w:lang w:val="en-US" w:eastAsia="zh-CN" w:bidi="ar-SA"/>
          <w14:textFill>
            <w14:solidFill>
              <w14:schemeClr w14:val="tx1"/>
            </w14:solidFill>
          </w14:textFill>
        </w:rPr>
      </w:pPr>
      <w:r>
        <w:rPr>
          <w:rFonts w:hint="eastAsia" w:ascii="黑体" w:hAnsi="黑体" w:eastAsia="黑体" w:cs="仿宋_GB2312"/>
          <w:color w:val="000000" w:themeColor="text1"/>
          <w:kern w:val="2"/>
          <w:sz w:val="32"/>
          <w:szCs w:val="32"/>
          <w:u w:val="none"/>
          <w:lang w:val="en-US" w:eastAsia="zh-CN" w:bidi="ar-SA"/>
          <w14:textFill>
            <w14:solidFill>
              <w14:schemeClr w14:val="tx1"/>
            </w14:solidFill>
          </w14:textFill>
        </w:rPr>
        <w:t>十一、总砷</w:t>
      </w:r>
    </w:p>
    <w:p>
      <w:pPr>
        <w:keepNext w:val="0"/>
        <w:keepLines w:val="0"/>
        <w:pageBreakBefore w:val="0"/>
        <w:widowControl/>
        <w:suppressLineNumbers w:val="0"/>
        <w:kinsoku/>
        <w:overflowPunct/>
        <w:topLinePunct w:val="0"/>
        <w:autoSpaceDE/>
        <w:bidi w:val="0"/>
        <w:adjustRightInd/>
        <w:snapToGrid/>
        <w:spacing w:line="600" w:lineRule="exact"/>
        <w:ind w:firstLine="640" w:firstLineChars="200"/>
        <w:jc w:val="left"/>
        <w:textAlignment w:val="auto"/>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pP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砷是大自然中常见的元素，广泛存在于土壤、水体和生物体内，是一种毒性较高的污染元素，包括无机砷和有机砷。Q/BLY 0001S—2023《肉粉松》规定，熟肉干制品中总砷(以As计)</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的</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限量为0.5mg/kg。造成总砷超标的原因，可能是生产企业未把控好原料关。</w:t>
      </w:r>
    </w:p>
    <w:bookmarkEnd w:id="0"/>
    <w:sectPr>
      <w:headerReference r:id="rId3" w:type="default"/>
      <w:footerReference r:id="rId4" w:type="default"/>
      <w:pgSz w:w="11906" w:h="16838"/>
      <w:pgMar w:top="2098" w:right="1587" w:bottom="198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CC"/>
    <w:family w:val="roman"/>
    <w:pitch w:val="default"/>
    <w:sig w:usb0="00000000" w:usb1="00000000" w:usb2="00000009" w:usb3="00000000" w:csb0="400001FF" w:csb1="FFFF0000"/>
  </w:font>
  <w:font w:name="宋体">
    <w:altName w:val="方正书宋_GBK"/>
    <w:panose1 w:val="02010600030101010101"/>
    <w:charset w:val="50"/>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auto"/>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roman"/>
    <w:pitch w:val="default"/>
    <w:sig w:usb0="A00002BF" w:usb1="184F6CFA" w:usb2="00000012" w:usb3="00000000" w:csb0="00040001" w:csb1="00000000"/>
  </w:font>
  <w:font w:name="仿宋">
    <w:altName w:val="方正仿宋_GBK"/>
    <w:panose1 w:val="02010609060101010101"/>
    <w:charset w:val="86"/>
    <w:family w:val="auto"/>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RkMzExMGFjNGI3MGU0NmMxMTA3NmIzOWNmMWZkMzgifQ=="/>
  </w:docVars>
  <w:rsids>
    <w:rsidRoot w:val="0C8C4767"/>
    <w:rsid w:val="01B70B11"/>
    <w:rsid w:val="02D4355F"/>
    <w:rsid w:val="04C168D5"/>
    <w:rsid w:val="05186D88"/>
    <w:rsid w:val="051C7148"/>
    <w:rsid w:val="05745268"/>
    <w:rsid w:val="069C2004"/>
    <w:rsid w:val="06D74455"/>
    <w:rsid w:val="077B57F1"/>
    <w:rsid w:val="078E2491"/>
    <w:rsid w:val="08123F6F"/>
    <w:rsid w:val="08A27FDB"/>
    <w:rsid w:val="08F71048"/>
    <w:rsid w:val="0911726A"/>
    <w:rsid w:val="09B56C31"/>
    <w:rsid w:val="0ADC2FBC"/>
    <w:rsid w:val="0B45380D"/>
    <w:rsid w:val="0BA40294"/>
    <w:rsid w:val="0C8C4767"/>
    <w:rsid w:val="0D7F373F"/>
    <w:rsid w:val="0EDE2A98"/>
    <w:rsid w:val="0F39699B"/>
    <w:rsid w:val="10D66823"/>
    <w:rsid w:val="11CB0F6B"/>
    <w:rsid w:val="148F26F1"/>
    <w:rsid w:val="15EC594F"/>
    <w:rsid w:val="167B6CBC"/>
    <w:rsid w:val="168C6AE4"/>
    <w:rsid w:val="17677D3A"/>
    <w:rsid w:val="18484AED"/>
    <w:rsid w:val="19212ABA"/>
    <w:rsid w:val="1924456A"/>
    <w:rsid w:val="193E766E"/>
    <w:rsid w:val="1A1F09D3"/>
    <w:rsid w:val="1B303622"/>
    <w:rsid w:val="1C2A5945"/>
    <w:rsid w:val="1CAB48B3"/>
    <w:rsid w:val="1D4213BE"/>
    <w:rsid w:val="1F774E39"/>
    <w:rsid w:val="225E6E53"/>
    <w:rsid w:val="232572E3"/>
    <w:rsid w:val="23917A33"/>
    <w:rsid w:val="23F60CAA"/>
    <w:rsid w:val="242749E3"/>
    <w:rsid w:val="2462067D"/>
    <w:rsid w:val="2466310B"/>
    <w:rsid w:val="25586759"/>
    <w:rsid w:val="25B10A6B"/>
    <w:rsid w:val="26631425"/>
    <w:rsid w:val="269B2CCF"/>
    <w:rsid w:val="26DF4641"/>
    <w:rsid w:val="272354B2"/>
    <w:rsid w:val="279C4F22"/>
    <w:rsid w:val="27A95480"/>
    <w:rsid w:val="28B22DF6"/>
    <w:rsid w:val="29572E48"/>
    <w:rsid w:val="29EC6A2D"/>
    <w:rsid w:val="2A2D3458"/>
    <w:rsid w:val="2A8B307E"/>
    <w:rsid w:val="2AA373AB"/>
    <w:rsid w:val="2BAF5CCC"/>
    <w:rsid w:val="2BCE09B8"/>
    <w:rsid w:val="2D851703"/>
    <w:rsid w:val="2DB63420"/>
    <w:rsid w:val="2ED91C95"/>
    <w:rsid w:val="2F3B1D8A"/>
    <w:rsid w:val="31921EC9"/>
    <w:rsid w:val="31B5579D"/>
    <w:rsid w:val="324E00CB"/>
    <w:rsid w:val="32882B90"/>
    <w:rsid w:val="332F602F"/>
    <w:rsid w:val="33775400"/>
    <w:rsid w:val="33883CFF"/>
    <w:rsid w:val="34CA45A9"/>
    <w:rsid w:val="34CC7B36"/>
    <w:rsid w:val="36225F84"/>
    <w:rsid w:val="36441098"/>
    <w:rsid w:val="394C3FD2"/>
    <w:rsid w:val="397F29C3"/>
    <w:rsid w:val="39B72E0C"/>
    <w:rsid w:val="3AE350CD"/>
    <w:rsid w:val="3C0E1DC6"/>
    <w:rsid w:val="3C350180"/>
    <w:rsid w:val="3C9447FE"/>
    <w:rsid w:val="3CB27B7F"/>
    <w:rsid w:val="3D5E681B"/>
    <w:rsid w:val="3E971DB6"/>
    <w:rsid w:val="3EAE1333"/>
    <w:rsid w:val="40207544"/>
    <w:rsid w:val="4039711A"/>
    <w:rsid w:val="41EA767F"/>
    <w:rsid w:val="42C5372B"/>
    <w:rsid w:val="42F952C2"/>
    <w:rsid w:val="435033F0"/>
    <w:rsid w:val="44981A1A"/>
    <w:rsid w:val="451200B3"/>
    <w:rsid w:val="460D6897"/>
    <w:rsid w:val="47AF2AD7"/>
    <w:rsid w:val="49496DDF"/>
    <w:rsid w:val="49810C65"/>
    <w:rsid w:val="4B140ACE"/>
    <w:rsid w:val="4BD82108"/>
    <w:rsid w:val="4C615739"/>
    <w:rsid w:val="4E2626A5"/>
    <w:rsid w:val="4E2C5712"/>
    <w:rsid w:val="4FBE9E45"/>
    <w:rsid w:val="508E0988"/>
    <w:rsid w:val="50BD5E1A"/>
    <w:rsid w:val="50CD6CD5"/>
    <w:rsid w:val="51281701"/>
    <w:rsid w:val="51DB6199"/>
    <w:rsid w:val="52E96387"/>
    <w:rsid w:val="53446C55"/>
    <w:rsid w:val="56086DBD"/>
    <w:rsid w:val="56425A22"/>
    <w:rsid w:val="567A47C5"/>
    <w:rsid w:val="584D5EC8"/>
    <w:rsid w:val="59224657"/>
    <w:rsid w:val="593659D6"/>
    <w:rsid w:val="59907A40"/>
    <w:rsid w:val="59A613CA"/>
    <w:rsid w:val="59B142AA"/>
    <w:rsid w:val="5B380402"/>
    <w:rsid w:val="5B5E0D89"/>
    <w:rsid w:val="5B8A75CF"/>
    <w:rsid w:val="5C03111E"/>
    <w:rsid w:val="5C454A26"/>
    <w:rsid w:val="5D6D3F12"/>
    <w:rsid w:val="5D817942"/>
    <w:rsid w:val="5DC475F0"/>
    <w:rsid w:val="5DFD4AA2"/>
    <w:rsid w:val="5E1E6906"/>
    <w:rsid w:val="5E410E7A"/>
    <w:rsid w:val="5ED95286"/>
    <w:rsid w:val="5FC26101"/>
    <w:rsid w:val="60A46527"/>
    <w:rsid w:val="62393C54"/>
    <w:rsid w:val="62E247CC"/>
    <w:rsid w:val="63217256"/>
    <w:rsid w:val="648D0CE1"/>
    <w:rsid w:val="65BE4C71"/>
    <w:rsid w:val="67C67CD1"/>
    <w:rsid w:val="68DA55BD"/>
    <w:rsid w:val="69137A29"/>
    <w:rsid w:val="69545978"/>
    <w:rsid w:val="6AD24F09"/>
    <w:rsid w:val="6AF01E77"/>
    <w:rsid w:val="6B3B0481"/>
    <w:rsid w:val="6CE62940"/>
    <w:rsid w:val="6D512028"/>
    <w:rsid w:val="6DFF29E8"/>
    <w:rsid w:val="6FE2402A"/>
    <w:rsid w:val="6FF80097"/>
    <w:rsid w:val="702448C4"/>
    <w:rsid w:val="71D631AF"/>
    <w:rsid w:val="72B73991"/>
    <w:rsid w:val="748C7A82"/>
    <w:rsid w:val="75AD538A"/>
    <w:rsid w:val="76CB3F79"/>
    <w:rsid w:val="772D16F5"/>
    <w:rsid w:val="77704BDB"/>
    <w:rsid w:val="77745CF2"/>
    <w:rsid w:val="782C2288"/>
    <w:rsid w:val="782C5622"/>
    <w:rsid w:val="785415C7"/>
    <w:rsid w:val="78B639CE"/>
    <w:rsid w:val="796803D8"/>
    <w:rsid w:val="7A935AC6"/>
    <w:rsid w:val="7CCF0986"/>
    <w:rsid w:val="7D32167A"/>
    <w:rsid w:val="7E8B0487"/>
    <w:rsid w:val="7FEF188D"/>
    <w:rsid w:val="BD6B9D4D"/>
    <w:rsid w:val="DEB3EC41"/>
    <w:rsid w:val="F7DED237"/>
    <w:rsid w:val="FFC6FF77"/>
    <w:rsid w:val="FFFB17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9">
    <w:name w:val="Default Paragraph Font"/>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rPr>
      <w:rFonts w:ascii="Times New Roman" w:hAnsi="Times New Roman" w:cs="Times New Roman"/>
      <w:szCs w:val="20"/>
    </w:rPr>
  </w:style>
  <w:style w:type="paragraph" w:styleId="3">
    <w:name w:val="Body Text Indent"/>
    <w:basedOn w:val="1"/>
    <w:unhideWhenUsed/>
    <w:qFormat/>
    <w:uiPriority w:val="99"/>
    <w:pPr>
      <w:spacing w:after="120"/>
      <w:ind w:left="420" w:leftChars="200"/>
    </w:pPr>
    <w:rPr>
      <w:rFonts w:hAnsi="Calibri"/>
      <w:kern w:val="0"/>
      <w:szCs w:val="20"/>
    </w:r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100" w:beforeLines="0" w:beforeAutospacing="1" w:after="100" w:afterLines="0" w:afterAutospacing="1"/>
      <w:ind w:left="0" w:right="0"/>
      <w:jc w:val="left"/>
    </w:pPr>
    <w:rPr>
      <w:color w:val="CC0000"/>
      <w:kern w:val="0"/>
      <w:sz w:val="24"/>
      <w:u w:val="single"/>
      <w:lang w:val="en-US" w:eastAsia="zh-CN" w:bidi="ar-SA"/>
    </w:rPr>
  </w:style>
  <w:style w:type="paragraph" w:styleId="7">
    <w:name w:val="Body Text First Indent 2"/>
    <w:basedOn w:val="3"/>
    <w:unhideWhenUsed/>
    <w:qFormat/>
    <w:uiPriority w:val="99"/>
    <w:pPr>
      <w:ind w:firstLine="420" w:firstLineChars="200"/>
    </w:pPr>
  </w:style>
  <w:style w:type="character" w:styleId="10">
    <w:name w:val="Hyperlink"/>
    <w:basedOn w:val="9"/>
    <w:qFormat/>
    <w:uiPriority w:val="0"/>
    <w:rPr>
      <w:color w:val="0000FF"/>
      <w:u w:val="single"/>
    </w:rPr>
  </w:style>
  <w:style w:type="paragraph" w:customStyle="1" w:styleId="11">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1120</Words>
  <Characters>1167</Characters>
  <Lines>0</Lines>
  <Paragraphs>0</Paragraphs>
  <TotalTime>1</TotalTime>
  <ScaleCrop>false</ScaleCrop>
  <LinksUpToDate>false</LinksUpToDate>
  <CharactersWithSpaces>1169</CharactersWithSpaces>
  <Application>WPS Office_11.8.2.12356_F1E327BC-269C-435d-A152-05C5408002CA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2021-11-10T22:11:00Z</dcterms:created>
  <dc:creator>anshenghui</dc:creator>
  <cp:lastModifiedBy>zzq</cp:lastModifiedBy>
  <cp:lastPrinted>2021-11-11T01:23:00Z</cp:lastPrinted>
  <dcterms:modified xsi:type="dcterms:W3CDTF">2025-09-11T19:11:27Z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2052-11.8.2.12356</vt:lpwstr>
  </property>
  <property fmtid="{D5CDD505-2E9C-101B-9397-08002B2CF9AE}" pid="3" name="ICV">
    <vt:lpwstr>9388552A3F8F44BFA71C3BF15F92E151_13</vt:lpwstr>
  </property>
</Properties>
</file>